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FEECEC">
      <w:pPr>
        <w:autoSpaceDE w:val="0"/>
        <w:autoSpaceDN w:val="0"/>
        <w:adjustRightInd w:val="0"/>
        <w:spacing w:before="156" w:beforeLines="50"/>
        <w:rPr>
          <w:rFonts w:hint="eastAsia" w:ascii="宋体" w:hAnsi="宋体"/>
          <w:bCs/>
          <w:sz w:val="24"/>
          <w:szCs w:val="21"/>
        </w:rPr>
      </w:pPr>
      <w:r>
        <w:rPr>
          <w:rFonts w:hint="eastAsia" w:ascii="宋体" w:hAnsi="宋体"/>
          <w:bCs/>
          <w:sz w:val="24"/>
          <w:szCs w:val="21"/>
        </w:rPr>
        <w:t>附件</w:t>
      </w:r>
    </w:p>
    <w:p w14:paraId="35D3C977">
      <w:pPr>
        <w:autoSpaceDE w:val="0"/>
        <w:autoSpaceDN w:val="0"/>
        <w:adjustRightInd w:val="0"/>
        <w:spacing w:before="156" w:beforeLines="50"/>
        <w:jc w:val="center"/>
        <w:rPr>
          <w:rFonts w:eastAsia="黑体"/>
          <w:b/>
        </w:rPr>
      </w:pPr>
      <w:r>
        <w:rPr>
          <w:rFonts w:hint="eastAsia" w:ascii="黑体" w:eastAsia="黑体"/>
          <w:bCs/>
          <w:sz w:val="32"/>
          <w:szCs w:val="32"/>
          <w:lang w:val="en-US" w:eastAsia="zh-CN"/>
        </w:rPr>
        <w:t>国际组织人才培养与全球治理</w:t>
      </w:r>
      <w:r>
        <w:rPr>
          <w:rFonts w:hint="eastAsia" w:ascii="黑体" w:eastAsia="黑体"/>
          <w:bCs/>
          <w:sz w:val="32"/>
          <w:szCs w:val="32"/>
        </w:rPr>
        <w:t>微专业人才培养方案</w:t>
      </w:r>
    </w:p>
    <w:p w14:paraId="07CF186D">
      <w:pPr>
        <w:autoSpaceDE w:val="0"/>
        <w:autoSpaceDN w:val="0"/>
        <w:adjustRightInd w:val="0"/>
        <w:spacing w:line="480" w:lineRule="exact"/>
        <w:ind w:firstLine="480" w:firstLineChars="200"/>
        <w:rPr>
          <w:rFonts w:eastAsia="黑体"/>
          <w:bCs/>
          <w:sz w:val="24"/>
        </w:rPr>
      </w:pPr>
      <w:r>
        <w:rPr>
          <w:rFonts w:hint="eastAsia" w:eastAsia="黑体"/>
          <w:bCs/>
          <w:sz w:val="24"/>
        </w:rPr>
        <w:t>一、</w:t>
      </w:r>
      <w:r>
        <w:rPr>
          <w:rFonts w:eastAsia="黑体"/>
          <w:bCs/>
          <w:sz w:val="24"/>
        </w:rPr>
        <w:t>微专业简介</w:t>
      </w:r>
    </w:p>
    <w:p w14:paraId="6E38EF57">
      <w:pPr>
        <w:autoSpaceDE w:val="0"/>
        <w:autoSpaceDN w:val="0"/>
        <w:adjustRightInd w:val="0"/>
        <w:spacing w:line="480" w:lineRule="exact"/>
        <w:ind w:firstLine="480" w:firstLineChars="200"/>
        <w:rPr>
          <w:rFonts w:hint="eastAsia" w:ascii="宋体" w:hAnsi="宋体"/>
          <w:bCs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本微专业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针对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中国在国际组织人才储备不足、河北省系统化培养平台空缺的迫切需求，响应国家全球治理人才战略部署。立足河北大学综合性学科优势，以联合国胜任力框架为培养依据，整合创新创业指导中心、国际合作处及外国语学院、马克思主义学院、法学院、管理学院、国际学院等资源，面向全校本科生开设跨学科、复合型、应用型微专业。课程涵盖国际组织运作、跨文化沟通、组织行为、国际法、职业规划及综合实训六大模块，突出理论教学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实训演练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实习推送全链条培养，着力打造区域特色鲜明的国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、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际化人才培养载体，助力学生实现高质量国际化就业。</w:t>
      </w:r>
    </w:p>
    <w:p w14:paraId="798394DE">
      <w:pPr>
        <w:autoSpaceDE w:val="0"/>
        <w:autoSpaceDN w:val="0"/>
        <w:adjustRightInd w:val="0"/>
        <w:spacing w:line="480" w:lineRule="exact"/>
        <w:ind w:firstLine="480" w:firstLineChars="200"/>
        <w:rPr>
          <w:rFonts w:hint="eastAsia" w:ascii="宋体" w:hAnsi="宋体"/>
          <w:bCs/>
          <w:szCs w:val="21"/>
        </w:rPr>
      </w:pPr>
      <w:r>
        <w:rPr>
          <w:rFonts w:hint="eastAsia" w:eastAsia="黑体"/>
          <w:bCs/>
          <w:sz w:val="24"/>
        </w:rPr>
        <w:t>二、培养目标</w:t>
      </w:r>
    </w:p>
    <w:p w14:paraId="084821C4">
      <w:pPr>
        <w:autoSpaceDE w:val="0"/>
        <w:autoSpaceDN w:val="0"/>
        <w:adjustRightInd w:val="0"/>
        <w:spacing w:line="480" w:lineRule="exact"/>
        <w:ind w:firstLine="480" w:firstLineChars="200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本微专业以联合国胜任力框架为依据，培养学生完成学习后应达到以下目标：</w:t>
      </w:r>
    </w:p>
    <w:p w14:paraId="2CEA3C4C">
      <w:pPr>
        <w:autoSpaceDE w:val="0"/>
        <w:autoSpaceDN w:val="0"/>
        <w:adjustRightInd w:val="0"/>
        <w:spacing w:line="480" w:lineRule="exact"/>
        <w:ind w:firstLine="480" w:firstLineChars="200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培养目标1：掌握国际组织与全球治理、国际法、跨文化交际、组织行为学等基础理论与核心知识，熟悉国际组织架构与运行机制。</w:t>
      </w:r>
    </w:p>
    <w:p w14:paraId="54FF71F7">
      <w:pPr>
        <w:autoSpaceDE w:val="0"/>
        <w:autoSpaceDN w:val="0"/>
        <w:adjustRightInd w:val="0"/>
        <w:spacing w:line="480" w:lineRule="exact"/>
        <w:ind w:firstLine="480" w:firstLineChars="200"/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培养目标2：具备跨文化沟通能力，能够妥善处理文化差异，开展高效跨文化协作；掌握国际组织岗位申请所需的简历撰写、面试应答等实务技能。</w:t>
      </w:r>
    </w:p>
    <w:p w14:paraId="3B547683">
      <w:pPr>
        <w:autoSpaceDE w:val="0"/>
        <w:autoSpaceDN w:val="0"/>
        <w:adjustRightInd w:val="0"/>
        <w:spacing w:line="480" w:lineRule="exact"/>
        <w:ind w:firstLine="480" w:firstLineChars="200"/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培养目标3：具备国际组织实习与涉外职业发展的实操能力，能够独立完成岗位信息检索、申请材料准备及模拟面试演练。</w:t>
      </w:r>
    </w:p>
    <w:p w14:paraId="0D038568">
      <w:pPr>
        <w:autoSpaceDE w:val="0"/>
        <w:autoSpaceDN w:val="0"/>
        <w:adjustRightInd w:val="0"/>
        <w:spacing w:line="480" w:lineRule="exact"/>
        <w:ind w:firstLine="480" w:firstLineChars="200"/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培养目标4：树立家国情怀与全球视野，具备团队协作、规则意识、诚信规范及持续发展的职业素养。</w:t>
      </w:r>
    </w:p>
    <w:p w14:paraId="0FB9BD67">
      <w:pPr>
        <w:autoSpaceDE w:val="0"/>
        <w:autoSpaceDN w:val="0"/>
        <w:adjustRightInd w:val="0"/>
        <w:spacing w:line="480" w:lineRule="exact"/>
        <w:ind w:firstLine="480" w:firstLineChars="200"/>
        <w:rPr>
          <w:rFonts w:hint="eastAsia" w:ascii="黑体" w:hAnsi="黑体" w:eastAsia="黑体"/>
          <w:bCs/>
          <w:sz w:val="24"/>
        </w:rPr>
      </w:pPr>
      <w:r>
        <w:rPr>
          <w:rFonts w:hint="eastAsia" w:ascii="黑体" w:hAnsi="黑体" w:eastAsia="黑体"/>
          <w:bCs/>
          <w:sz w:val="24"/>
        </w:rPr>
        <w:t>三</w:t>
      </w:r>
      <w:r>
        <w:rPr>
          <w:rFonts w:ascii="黑体" w:hAnsi="黑体" w:eastAsia="黑体"/>
          <w:bCs/>
          <w:sz w:val="24"/>
        </w:rPr>
        <w:t>、修业年限</w:t>
      </w:r>
      <w:r>
        <w:rPr>
          <w:rFonts w:hint="eastAsia" w:ascii="黑体" w:hAnsi="黑体" w:eastAsia="黑体"/>
          <w:bCs/>
          <w:sz w:val="24"/>
        </w:rPr>
        <w:t>、课程与学分</w:t>
      </w:r>
    </w:p>
    <w:p w14:paraId="04440BCB">
      <w:pPr>
        <w:autoSpaceDE w:val="0"/>
        <w:autoSpaceDN w:val="0"/>
        <w:adjustRightInd w:val="0"/>
        <w:spacing w:line="480" w:lineRule="exact"/>
        <w:ind w:firstLine="480" w:firstLineChars="200"/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修业年限为1年（2个学期），6门课程，共204学时12学分</w:t>
      </w:r>
      <w:r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。教学活动安排在周末或晚间集中授课，以减少与主修专业学习的冲突。</w:t>
      </w:r>
    </w:p>
    <w:p w14:paraId="753FA660">
      <w:pPr>
        <w:autoSpaceDE w:val="0"/>
        <w:autoSpaceDN w:val="0"/>
        <w:adjustRightInd w:val="0"/>
        <w:spacing w:line="480" w:lineRule="exact"/>
        <w:ind w:firstLine="480" w:firstLineChars="200"/>
        <w:rPr>
          <w:rFonts w:hint="eastAsia" w:ascii="黑体" w:hAnsi="黑体" w:eastAsia="黑体"/>
          <w:bCs/>
          <w:sz w:val="24"/>
        </w:rPr>
      </w:pPr>
      <w:r>
        <w:rPr>
          <w:rFonts w:hint="eastAsia" w:ascii="黑体" w:hAnsi="黑体" w:eastAsia="黑体"/>
          <w:bCs/>
          <w:sz w:val="24"/>
        </w:rPr>
        <w:t>四</w:t>
      </w:r>
      <w:r>
        <w:rPr>
          <w:rFonts w:ascii="黑体" w:hAnsi="黑体" w:eastAsia="黑体"/>
          <w:bCs/>
          <w:sz w:val="24"/>
        </w:rPr>
        <w:t>、招生对象及报名条件</w:t>
      </w:r>
    </w:p>
    <w:p w14:paraId="353569BA">
      <w:pPr>
        <w:autoSpaceDE w:val="0"/>
        <w:autoSpaceDN w:val="0"/>
        <w:adjustRightInd w:val="0"/>
        <w:spacing w:line="480" w:lineRule="exact"/>
        <w:ind w:firstLine="480" w:firstLineChars="200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面向河北大学全校全日制本科生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和研究生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。优先选拔英语基础扎实、具备跨文化交流兴趣、有志于从事国际组织或涉外工作的学生。每批次计划招生40-50人，采用自主报名、材料审核、综合面试方式择优录取。</w:t>
      </w:r>
    </w:p>
    <w:p w14:paraId="07D9D500">
      <w:pPr>
        <w:autoSpaceDE w:val="0"/>
        <w:autoSpaceDN w:val="0"/>
        <w:adjustRightInd w:val="0"/>
        <w:spacing w:line="480" w:lineRule="exact"/>
        <w:ind w:firstLine="480" w:firstLineChars="200"/>
        <w:rPr>
          <w:rFonts w:hint="eastAsia" w:ascii="黑体" w:hAnsi="黑体" w:eastAsia="黑体"/>
          <w:bCs/>
          <w:sz w:val="24"/>
        </w:rPr>
      </w:pPr>
      <w:r>
        <w:rPr>
          <w:rFonts w:hint="eastAsia" w:ascii="黑体" w:hAnsi="黑体" w:eastAsia="黑体"/>
          <w:bCs/>
          <w:sz w:val="24"/>
        </w:rPr>
        <w:t>五、课程设置</w:t>
      </w:r>
    </w:p>
    <w:p w14:paraId="6A566A3A">
      <w:pPr>
        <w:autoSpaceDE w:val="0"/>
        <w:autoSpaceDN w:val="0"/>
        <w:adjustRightInd w:val="0"/>
        <w:spacing w:line="520" w:lineRule="exact"/>
        <w:ind w:firstLine="480" w:firstLineChars="200"/>
        <w:jc w:val="center"/>
        <w:rPr>
          <w:rFonts w:hint="eastAsia" w:ascii="黑体" w:hAnsi="黑体" w:eastAsia="黑体"/>
          <w:bCs/>
          <w:sz w:val="24"/>
        </w:rPr>
      </w:pPr>
      <w:r>
        <w:rPr>
          <w:rFonts w:hint="eastAsia" w:ascii="黑体" w:hAnsi="黑体" w:eastAsia="黑体"/>
          <w:bCs/>
          <w:sz w:val="24"/>
          <w:lang w:val="en-US" w:eastAsia="zh-CN"/>
        </w:rPr>
        <w:t>国际组织人才培养与全球治理</w:t>
      </w:r>
      <w:r>
        <w:rPr>
          <w:rFonts w:ascii="黑体" w:hAnsi="黑体" w:eastAsia="黑体"/>
          <w:bCs/>
          <w:sz w:val="24"/>
        </w:rPr>
        <w:t>微专业课程设置及教学安排计划表</w:t>
      </w:r>
    </w:p>
    <w:tbl>
      <w:tblPr>
        <w:tblStyle w:val="14"/>
        <w:tblW w:w="96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1"/>
        <w:gridCol w:w="4153"/>
        <w:gridCol w:w="708"/>
        <w:gridCol w:w="568"/>
        <w:gridCol w:w="567"/>
        <w:gridCol w:w="567"/>
        <w:gridCol w:w="566"/>
        <w:gridCol w:w="581"/>
        <w:gridCol w:w="551"/>
      </w:tblGrid>
      <w:tr w14:paraId="4DB40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tblHeader/>
          <w:jc w:val="center"/>
        </w:trPr>
        <w:tc>
          <w:tcPr>
            <w:tcW w:w="1371" w:type="dxa"/>
            <w:vMerge w:val="restart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53404A0">
            <w:pPr>
              <w:snapToGrid w:val="0"/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sz w:val="18"/>
                <w:szCs w:val="18"/>
              </w:rPr>
              <w:t>课程号</w:t>
            </w:r>
          </w:p>
        </w:tc>
        <w:tc>
          <w:tcPr>
            <w:tcW w:w="4153" w:type="dxa"/>
            <w:vMerge w:val="restart"/>
            <w:vAlign w:val="center"/>
          </w:tcPr>
          <w:p w14:paraId="17A25767">
            <w:pPr>
              <w:snapToGrid w:val="0"/>
              <w:jc w:val="center"/>
              <w:rPr>
                <w:rFonts w:hint="eastAsia" w:asciiTheme="minorEastAsia" w:hAnsiTheme="minorEastAsia" w:eastAsia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sz w:val="18"/>
                <w:szCs w:val="18"/>
              </w:rPr>
              <w:t>课程名称</w:t>
            </w:r>
          </w:p>
          <w:p w14:paraId="49FFC5C3">
            <w:pPr>
              <w:snapToGrid w:val="0"/>
              <w:jc w:val="center"/>
              <w:rPr>
                <w:rFonts w:hint="eastAsia" w:asciiTheme="minorEastAsia" w:hAnsiTheme="minorEastAsia" w:eastAsia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b/>
                <w:sz w:val="18"/>
                <w:szCs w:val="18"/>
              </w:rPr>
              <w:t>Courses Name</w:t>
            </w:r>
          </w:p>
        </w:tc>
        <w:tc>
          <w:tcPr>
            <w:tcW w:w="708" w:type="dxa"/>
            <w:vMerge w:val="restart"/>
            <w:vAlign w:val="center"/>
          </w:tcPr>
          <w:p w14:paraId="74529E48">
            <w:pPr>
              <w:snapToGrid w:val="0"/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sz w:val="18"/>
                <w:szCs w:val="18"/>
              </w:rPr>
              <w:t>课程</w:t>
            </w:r>
          </w:p>
          <w:p w14:paraId="208F2532">
            <w:pPr>
              <w:snapToGrid w:val="0"/>
              <w:ind w:left="-105" w:leftChars="-50" w:right="-105" w:rightChars="-50" w:firstLine="6"/>
              <w:jc w:val="center"/>
              <w:rPr>
                <w:rFonts w:hint="eastAsia" w:asciiTheme="minorEastAsia" w:hAnsiTheme="minorEastAsia" w:eastAsia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sz w:val="18"/>
                <w:szCs w:val="18"/>
              </w:rPr>
              <w:t>性质</w:t>
            </w:r>
          </w:p>
        </w:tc>
        <w:tc>
          <w:tcPr>
            <w:tcW w:w="568" w:type="dxa"/>
            <w:vMerge w:val="restart"/>
            <w:vAlign w:val="center"/>
          </w:tcPr>
          <w:p w14:paraId="2E92BE84">
            <w:pPr>
              <w:snapToGrid w:val="0"/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18"/>
                <w:szCs w:val="18"/>
              </w:rPr>
              <w:t>学分</w:t>
            </w:r>
          </w:p>
        </w:tc>
        <w:tc>
          <w:tcPr>
            <w:tcW w:w="1700" w:type="dxa"/>
            <w:gridSpan w:val="3"/>
            <w:vAlign w:val="center"/>
          </w:tcPr>
          <w:p w14:paraId="4EA38F24">
            <w:pPr>
              <w:snapToGrid w:val="0"/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sz w:val="18"/>
                <w:szCs w:val="18"/>
              </w:rPr>
              <w:t>学时</w:t>
            </w:r>
          </w:p>
        </w:tc>
        <w:tc>
          <w:tcPr>
            <w:tcW w:w="581" w:type="dxa"/>
            <w:vMerge w:val="restart"/>
            <w:vAlign w:val="center"/>
          </w:tcPr>
          <w:p w14:paraId="73B732F7">
            <w:pPr>
              <w:snapToGrid w:val="0"/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sz w:val="18"/>
                <w:szCs w:val="18"/>
              </w:rPr>
              <w:t>开课</w:t>
            </w:r>
          </w:p>
          <w:p w14:paraId="562B143B">
            <w:pPr>
              <w:snapToGrid w:val="0"/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sz w:val="18"/>
                <w:szCs w:val="18"/>
              </w:rPr>
              <w:t>学期</w:t>
            </w:r>
          </w:p>
        </w:tc>
        <w:tc>
          <w:tcPr>
            <w:tcW w:w="551" w:type="dxa"/>
            <w:vMerge w:val="restart"/>
            <w:vAlign w:val="center"/>
          </w:tcPr>
          <w:p w14:paraId="373652DF">
            <w:pPr>
              <w:snapToGrid w:val="0"/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sz w:val="18"/>
                <w:szCs w:val="18"/>
              </w:rPr>
              <w:t>备注</w:t>
            </w:r>
          </w:p>
        </w:tc>
      </w:tr>
      <w:tr w14:paraId="32929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71" w:type="dxa"/>
            <w:vMerge w:val="continue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E9E3008">
            <w:pPr>
              <w:widowControl/>
              <w:snapToGrid w:val="0"/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/>
                <w:b/>
                <w:sz w:val="18"/>
                <w:szCs w:val="18"/>
              </w:rPr>
            </w:pPr>
          </w:p>
        </w:tc>
        <w:tc>
          <w:tcPr>
            <w:tcW w:w="4153" w:type="dxa"/>
            <w:vMerge w:val="continue"/>
            <w:vAlign w:val="center"/>
          </w:tcPr>
          <w:p w14:paraId="65A563B8"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/>
                <w:b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vAlign w:val="center"/>
          </w:tcPr>
          <w:p w14:paraId="14EF6842">
            <w:pPr>
              <w:widowControl/>
              <w:snapToGrid w:val="0"/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/>
                <w:b/>
                <w:sz w:val="18"/>
                <w:szCs w:val="18"/>
              </w:rPr>
            </w:pPr>
          </w:p>
        </w:tc>
        <w:tc>
          <w:tcPr>
            <w:tcW w:w="568" w:type="dxa"/>
            <w:vMerge w:val="continue"/>
            <w:vAlign w:val="center"/>
          </w:tcPr>
          <w:p w14:paraId="3F7F5A5C">
            <w:pPr>
              <w:snapToGrid w:val="0"/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3BA3F9C">
            <w:pPr>
              <w:snapToGrid w:val="0"/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sz w:val="18"/>
                <w:szCs w:val="18"/>
              </w:rPr>
              <w:t>小计</w:t>
            </w:r>
          </w:p>
        </w:tc>
        <w:tc>
          <w:tcPr>
            <w:tcW w:w="567" w:type="dxa"/>
            <w:vAlign w:val="center"/>
          </w:tcPr>
          <w:p w14:paraId="6B270262">
            <w:pPr>
              <w:snapToGrid w:val="0"/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sz w:val="18"/>
                <w:szCs w:val="18"/>
              </w:rPr>
              <w:t>理论</w:t>
            </w:r>
          </w:p>
        </w:tc>
        <w:tc>
          <w:tcPr>
            <w:tcW w:w="566" w:type="dxa"/>
            <w:vAlign w:val="center"/>
          </w:tcPr>
          <w:p w14:paraId="52936B14">
            <w:pPr>
              <w:snapToGrid w:val="0"/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sz w:val="18"/>
                <w:szCs w:val="18"/>
              </w:rPr>
              <w:t>实验/实践</w:t>
            </w:r>
          </w:p>
        </w:tc>
        <w:tc>
          <w:tcPr>
            <w:tcW w:w="581" w:type="dxa"/>
            <w:vMerge w:val="continue"/>
          </w:tcPr>
          <w:p w14:paraId="4A0EBDC2">
            <w:pPr>
              <w:snapToGrid w:val="0"/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/>
                <w:b/>
                <w:sz w:val="18"/>
                <w:szCs w:val="18"/>
              </w:rPr>
            </w:pPr>
          </w:p>
        </w:tc>
        <w:tc>
          <w:tcPr>
            <w:tcW w:w="551" w:type="dxa"/>
            <w:vMerge w:val="continue"/>
          </w:tcPr>
          <w:p w14:paraId="795BE8D9">
            <w:pPr>
              <w:snapToGrid w:val="0"/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/>
                <w:b/>
                <w:sz w:val="18"/>
                <w:szCs w:val="18"/>
              </w:rPr>
            </w:pPr>
          </w:p>
        </w:tc>
      </w:tr>
      <w:tr w14:paraId="62282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1" w:type="dxa"/>
            <w:vAlign w:val="center"/>
          </w:tcPr>
          <w:p w14:paraId="3BB39EE4">
            <w:pPr>
              <w:snapToGrid w:val="0"/>
              <w:jc w:val="center"/>
              <w:rPr>
                <w:rFonts w:hint="eastAsia"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20"/>
                <w:szCs w:val="20"/>
                <w:highlight w:val="none"/>
              </w:rPr>
              <w:t>6423WZY001</w:t>
            </w:r>
          </w:p>
        </w:tc>
        <w:tc>
          <w:tcPr>
            <w:tcW w:w="4153" w:type="dxa"/>
            <w:vAlign w:val="center"/>
          </w:tcPr>
          <w:p w14:paraId="4C53EACF">
            <w:pPr>
              <w:autoSpaceDE w:val="0"/>
              <w:autoSpaceDN w:val="0"/>
              <w:adjustRightInd w:val="0"/>
              <w:snapToGrid w:val="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国际组织与全球治理</w:t>
            </w:r>
          </w:p>
        </w:tc>
        <w:tc>
          <w:tcPr>
            <w:tcW w:w="708" w:type="dxa"/>
            <w:vAlign w:val="center"/>
          </w:tcPr>
          <w:p w14:paraId="0BFA97BD">
            <w:pPr>
              <w:snapToGrid w:val="0"/>
              <w:ind w:left="-105" w:leftChars="-50" w:right="-105" w:rightChars="-5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必修</w:t>
            </w:r>
          </w:p>
        </w:tc>
        <w:tc>
          <w:tcPr>
            <w:tcW w:w="568" w:type="dxa"/>
            <w:vAlign w:val="center"/>
          </w:tcPr>
          <w:p w14:paraId="279BE75B">
            <w:pPr>
              <w:snapToGrid w:val="0"/>
              <w:jc w:val="center"/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67" w:type="dxa"/>
            <w:vAlign w:val="center"/>
          </w:tcPr>
          <w:p w14:paraId="230762A8">
            <w:pPr>
              <w:snapToGrid w:val="0"/>
              <w:jc w:val="center"/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567" w:type="dxa"/>
            <w:vAlign w:val="center"/>
          </w:tcPr>
          <w:p w14:paraId="6D607D47">
            <w:pPr>
              <w:snapToGrid w:val="0"/>
              <w:jc w:val="center"/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566" w:type="dxa"/>
            <w:vAlign w:val="center"/>
          </w:tcPr>
          <w:p w14:paraId="29B2FA1D">
            <w:pPr>
              <w:snapToGrid w:val="0"/>
              <w:ind w:left="-105" w:leftChars="-50" w:right="-105" w:rightChars="-50" w:firstLine="5"/>
              <w:jc w:val="center"/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581" w:type="dxa"/>
            <w:vAlign w:val="center"/>
          </w:tcPr>
          <w:p w14:paraId="63F5A783">
            <w:pPr>
              <w:snapToGrid w:val="0"/>
              <w:jc w:val="center"/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第1学期</w:t>
            </w:r>
          </w:p>
        </w:tc>
        <w:tc>
          <w:tcPr>
            <w:tcW w:w="551" w:type="dxa"/>
            <w:vAlign w:val="center"/>
          </w:tcPr>
          <w:p w14:paraId="79369376">
            <w:pPr>
              <w:snapToGrid w:val="0"/>
              <w:jc w:val="center"/>
              <w:rPr>
                <w:rFonts w:hint="eastAsia" w:asciiTheme="minorEastAsia" w:hAnsiTheme="minorEastAsia" w:eastAsiaTheme="minorEastAsia"/>
                <w:sz w:val="18"/>
                <w:szCs w:val="18"/>
              </w:rPr>
            </w:pPr>
          </w:p>
        </w:tc>
      </w:tr>
      <w:tr w14:paraId="1DD68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1" w:type="dxa"/>
            <w:vAlign w:val="center"/>
          </w:tcPr>
          <w:p w14:paraId="4200150A">
            <w:pPr>
              <w:snapToGrid w:val="0"/>
              <w:jc w:val="center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eastAsiaTheme="minorEastAsia"/>
                <w:sz w:val="20"/>
                <w:szCs w:val="20"/>
                <w:highlight w:val="none"/>
              </w:rPr>
              <w:t>6423WZY00</w:t>
            </w:r>
            <w:r>
              <w:rPr>
                <w:rFonts w:hint="eastAsia" w:asciiTheme="minorEastAsia" w:hAnsiTheme="minorEastAsia" w:eastAsiaTheme="minorEastAsia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4153" w:type="dxa"/>
            <w:vAlign w:val="center"/>
          </w:tcPr>
          <w:p w14:paraId="1833FDEC">
            <w:pPr>
              <w:autoSpaceDE w:val="0"/>
              <w:autoSpaceDN w:val="0"/>
              <w:adjustRightInd w:val="0"/>
              <w:snapToGrid w:val="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cs="宋体"/>
                <w:sz w:val="20"/>
                <w:szCs w:val="20"/>
                <w:lang w:val="zh-CN"/>
              </w:rPr>
              <w:t>领导力与商务谈判</w:t>
            </w:r>
          </w:p>
        </w:tc>
        <w:tc>
          <w:tcPr>
            <w:tcW w:w="708" w:type="dxa"/>
            <w:vAlign w:val="center"/>
          </w:tcPr>
          <w:p w14:paraId="1DA0FFAF">
            <w:pPr>
              <w:snapToGrid w:val="0"/>
              <w:ind w:left="-105" w:leftChars="-50" w:right="-105" w:rightChars="-5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必</w:t>
            </w:r>
            <w:r>
              <w:rPr>
                <w:rFonts w:hint="eastAsia"/>
                <w:sz w:val="18"/>
                <w:szCs w:val="18"/>
              </w:rPr>
              <w:t>修</w:t>
            </w:r>
          </w:p>
        </w:tc>
        <w:tc>
          <w:tcPr>
            <w:tcW w:w="568" w:type="dxa"/>
            <w:vAlign w:val="center"/>
          </w:tcPr>
          <w:p w14:paraId="447D91D9">
            <w:pPr>
              <w:snapToGrid w:val="0"/>
              <w:jc w:val="center"/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67" w:type="dxa"/>
            <w:vAlign w:val="center"/>
          </w:tcPr>
          <w:p w14:paraId="2051114B">
            <w:pPr>
              <w:snapToGrid w:val="0"/>
              <w:jc w:val="center"/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567" w:type="dxa"/>
            <w:vAlign w:val="center"/>
          </w:tcPr>
          <w:p w14:paraId="61112D75">
            <w:pPr>
              <w:snapToGrid w:val="0"/>
              <w:jc w:val="center"/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566" w:type="dxa"/>
            <w:vAlign w:val="center"/>
          </w:tcPr>
          <w:p w14:paraId="6B09B8B8">
            <w:pPr>
              <w:snapToGrid w:val="0"/>
              <w:ind w:left="-105" w:leftChars="-50" w:right="-105" w:rightChars="-50" w:firstLine="5"/>
              <w:jc w:val="center"/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581" w:type="dxa"/>
            <w:vAlign w:val="center"/>
          </w:tcPr>
          <w:p w14:paraId="6F00552A">
            <w:pPr>
              <w:snapToGrid w:val="0"/>
              <w:jc w:val="center"/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第1学期</w:t>
            </w:r>
          </w:p>
        </w:tc>
        <w:tc>
          <w:tcPr>
            <w:tcW w:w="551" w:type="dxa"/>
            <w:vAlign w:val="center"/>
          </w:tcPr>
          <w:p w14:paraId="7AD022DE">
            <w:pPr>
              <w:snapToGrid w:val="0"/>
              <w:jc w:val="center"/>
              <w:rPr>
                <w:rFonts w:hint="eastAsia" w:asciiTheme="minorEastAsia" w:hAnsiTheme="minorEastAsia" w:eastAsiaTheme="minorEastAsia"/>
                <w:sz w:val="18"/>
                <w:szCs w:val="18"/>
              </w:rPr>
            </w:pPr>
          </w:p>
        </w:tc>
      </w:tr>
      <w:tr w14:paraId="1F4D8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1" w:type="dxa"/>
            <w:vAlign w:val="center"/>
          </w:tcPr>
          <w:p w14:paraId="45576C54">
            <w:pPr>
              <w:snapToGrid w:val="0"/>
              <w:jc w:val="center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eastAsiaTheme="minorEastAsia"/>
                <w:sz w:val="20"/>
                <w:szCs w:val="20"/>
                <w:highlight w:val="none"/>
              </w:rPr>
              <w:t>6423WZY00</w:t>
            </w:r>
            <w:r>
              <w:rPr>
                <w:rFonts w:hint="eastAsia" w:asciiTheme="minorEastAsia" w:hAnsiTheme="minorEastAsia" w:eastAsiaTheme="minorEastAsia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4153" w:type="dxa"/>
            <w:vAlign w:val="center"/>
          </w:tcPr>
          <w:p w14:paraId="45E3A310">
            <w:pPr>
              <w:autoSpaceDE w:val="0"/>
              <w:autoSpaceDN w:val="0"/>
              <w:adjustRightInd w:val="0"/>
              <w:snapToGrid w:val="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跨文化交际</w:t>
            </w:r>
          </w:p>
        </w:tc>
        <w:tc>
          <w:tcPr>
            <w:tcW w:w="708" w:type="dxa"/>
            <w:vAlign w:val="center"/>
          </w:tcPr>
          <w:p w14:paraId="48F380C4">
            <w:pPr>
              <w:snapToGrid w:val="0"/>
              <w:ind w:left="-105" w:leftChars="-50" w:right="-105" w:rightChars="-5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必</w:t>
            </w:r>
            <w:r>
              <w:rPr>
                <w:rFonts w:hint="eastAsia"/>
                <w:sz w:val="18"/>
                <w:szCs w:val="18"/>
              </w:rPr>
              <w:t>修</w:t>
            </w:r>
          </w:p>
        </w:tc>
        <w:tc>
          <w:tcPr>
            <w:tcW w:w="568" w:type="dxa"/>
            <w:vAlign w:val="center"/>
          </w:tcPr>
          <w:p w14:paraId="409FC4E2">
            <w:pPr>
              <w:snapToGrid w:val="0"/>
              <w:jc w:val="center"/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67" w:type="dxa"/>
            <w:vAlign w:val="center"/>
          </w:tcPr>
          <w:p w14:paraId="4C50D83C">
            <w:pPr>
              <w:snapToGrid w:val="0"/>
              <w:jc w:val="center"/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567" w:type="dxa"/>
            <w:vAlign w:val="center"/>
          </w:tcPr>
          <w:p w14:paraId="5484503C">
            <w:pPr>
              <w:snapToGrid w:val="0"/>
              <w:jc w:val="center"/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566" w:type="dxa"/>
            <w:vAlign w:val="center"/>
          </w:tcPr>
          <w:p w14:paraId="7306F0D9">
            <w:pPr>
              <w:snapToGrid w:val="0"/>
              <w:ind w:left="-105" w:leftChars="-50" w:right="-105" w:rightChars="-50" w:firstLine="5"/>
              <w:jc w:val="center"/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581" w:type="dxa"/>
            <w:vAlign w:val="center"/>
          </w:tcPr>
          <w:p w14:paraId="6C52B9FA">
            <w:pPr>
              <w:snapToGrid w:val="0"/>
              <w:jc w:val="center"/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第1学期</w:t>
            </w:r>
          </w:p>
        </w:tc>
        <w:tc>
          <w:tcPr>
            <w:tcW w:w="551" w:type="dxa"/>
            <w:vAlign w:val="center"/>
          </w:tcPr>
          <w:p w14:paraId="3CB5A37B">
            <w:pPr>
              <w:snapToGrid w:val="0"/>
              <w:jc w:val="center"/>
              <w:rPr>
                <w:rFonts w:hint="eastAsia" w:asciiTheme="minorEastAsia" w:hAnsiTheme="minorEastAsia" w:eastAsiaTheme="minorEastAsia"/>
                <w:sz w:val="18"/>
                <w:szCs w:val="18"/>
              </w:rPr>
            </w:pPr>
          </w:p>
        </w:tc>
      </w:tr>
      <w:tr w14:paraId="01055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1" w:type="dxa"/>
            <w:vAlign w:val="center"/>
          </w:tcPr>
          <w:p w14:paraId="76F542BE">
            <w:pPr>
              <w:snapToGrid w:val="0"/>
              <w:jc w:val="center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eastAsiaTheme="minorEastAsia"/>
                <w:sz w:val="20"/>
                <w:szCs w:val="20"/>
                <w:highlight w:val="none"/>
              </w:rPr>
              <w:t>6423WZY00</w:t>
            </w:r>
            <w:r>
              <w:rPr>
                <w:rFonts w:hint="eastAsia" w:asciiTheme="minorEastAsia" w:hAnsiTheme="minorEastAsia" w:eastAsiaTheme="minorEastAsia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4153" w:type="dxa"/>
            <w:vAlign w:val="center"/>
          </w:tcPr>
          <w:p w14:paraId="3A0E685D">
            <w:pPr>
              <w:autoSpaceDE w:val="0"/>
              <w:autoSpaceDN w:val="0"/>
              <w:adjustRightInd w:val="0"/>
              <w:snapToGrid w:val="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国际组织人才培养与全球治理（实践课程）</w:t>
            </w:r>
          </w:p>
        </w:tc>
        <w:tc>
          <w:tcPr>
            <w:tcW w:w="708" w:type="dxa"/>
            <w:vAlign w:val="center"/>
          </w:tcPr>
          <w:p w14:paraId="55C67CA5">
            <w:pPr>
              <w:snapToGrid w:val="0"/>
              <w:ind w:left="-105" w:leftChars="-50" w:right="-105" w:rightChars="-50"/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必</w:t>
            </w:r>
            <w:r>
              <w:rPr>
                <w:rFonts w:hint="eastAsia"/>
                <w:sz w:val="18"/>
                <w:szCs w:val="18"/>
              </w:rPr>
              <w:t>修</w:t>
            </w:r>
          </w:p>
        </w:tc>
        <w:tc>
          <w:tcPr>
            <w:tcW w:w="568" w:type="dxa"/>
            <w:vAlign w:val="center"/>
          </w:tcPr>
          <w:p w14:paraId="3AA89D02">
            <w:pPr>
              <w:snapToGrid w:val="0"/>
              <w:jc w:val="center"/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67" w:type="dxa"/>
            <w:vAlign w:val="center"/>
          </w:tcPr>
          <w:p w14:paraId="719C321C">
            <w:pPr>
              <w:snapToGrid w:val="0"/>
              <w:jc w:val="center"/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567" w:type="dxa"/>
            <w:vAlign w:val="center"/>
          </w:tcPr>
          <w:p w14:paraId="103B5AF4">
            <w:pPr>
              <w:snapToGrid w:val="0"/>
              <w:jc w:val="center"/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566" w:type="dxa"/>
            <w:vAlign w:val="center"/>
          </w:tcPr>
          <w:p w14:paraId="501D0301">
            <w:pPr>
              <w:snapToGrid w:val="0"/>
              <w:ind w:left="-105" w:leftChars="-50" w:right="-105" w:rightChars="-50" w:firstLine="5" w:firstLineChars="0"/>
              <w:jc w:val="center"/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581" w:type="dxa"/>
            <w:vAlign w:val="center"/>
          </w:tcPr>
          <w:p w14:paraId="04091855">
            <w:pPr>
              <w:snapToGrid w:val="0"/>
              <w:jc w:val="center"/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第1学期</w:t>
            </w:r>
          </w:p>
        </w:tc>
        <w:tc>
          <w:tcPr>
            <w:tcW w:w="551" w:type="dxa"/>
            <w:vAlign w:val="center"/>
          </w:tcPr>
          <w:p w14:paraId="6BF7159F">
            <w:pPr>
              <w:snapToGrid w:val="0"/>
              <w:jc w:val="center"/>
              <w:rPr>
                <w:rFonts w:hint="eastAsia" w:asciiTheme="minorEastAsia" w:hAnsiTheme="minorEastAsia" w:eastAsiaTheme="minorEastAsia"/>
                <w:sz w:val="18"/>
                <w:szCs w:val="18"/>
              </w:rPr>
            </w:pPr>
          </w:p>
        </w:tc>
      </w:tr>
      <w:tr w14:paraId="664E4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1" w:type="dxa"/>
            <w:vAlign w:val="center"/>
          </w:tcPr>
          <w:p w14:paraId="580CBF84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sz w:val="20"/>
                <w:szCs w:val="20"/>
                <w:highlight w:val="none"/>
              </w:rPr>
              <w:t>6423</w:t>
            </w:r>
            <w:r>
              <w:rPr>
                <w:rFonts w:hint="eastAsia" w:ascii="宋体" w:hAnsi="宋体"/>
                <w:szCs w:val="21"/>
              </w:rPr>
              <w:t>WZY00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5</w:t>
            </w:r>
          </w:p>
        </w:tc>
        <w:tc>
          <w:tcPr>
            <w:tcW w:w="4153" w:type="dxa"/>
            <w:vAlign w:val="center"/>
          </w:tcPr>
          <w:p w14:paraId="5B7A7FB3">
            <w:pPr>
              <w:autoSpaceDE w:val="0"/>
              <w:autoSpaceDN w:val="0"/>
              <w:adjustRightInd w:val="0"/>
              <w:snapToGrid w:val="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国际法</w:t>
            </w:r>
          </w:p>
        </w:tc>
        <w:tc>
          <w:tcPr>
            <w:tcW w:w="708" w:type="dxa"/>
            <w:vAlign w:val="center"/>
          </w:tcPr>
          <w:p w14:paraId="0581DA5C">
            <w:pPr>
              <w:snapToGrid w:val="0"/>
              <w:ind w:left="-105" w:leftChars="-50" w:right="-105" w:rightChars="-50"/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必</w:t>
            </w:r>
            <w:r>
              <w:rPr>
                <w:rFonts w:hint="eastAsia"/>
                <w:sz w:val="18"/>
                <w:szCs w:val="18"/>
              </w:rPr>
              <w:t>修</w:t>
            </w:r>
          </w:p>
        </w:tc>
        <w:tc>
          <w:tcPr>
            <w:tcW w:w="568" w:type="dxa"/>
            <w:vAlign w:val="center"/>
          </w:tcPr>
          <w:p w14:paraId="61A2B737">
            <w:pPr>
              <w:snapToGrid w:val="0"/>
              <w:jc w:val="center"/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67" w:type="dxa"/>
            <w:vAlign w:val="center"/>
          </w:tcPr>
          <w:p w14:paraId="3A5B90DF">
            <w:pPr>
              <w:snapToGrid w:val="0"/>
              <w:jc w:val="center"/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567" w:type="dxa"/>
            <w:vAlign w:val="center"/>
          </w:tcPr>
          <w:p w14:paraId="65D19752">
            <w:pPr>
              <w:snapToGrid w:val="0"/>
              <w:jc w:val="center"/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566" w:type="dxa"/>
            <w:vAlign w:val="center"/>
          </w:tcPr>
          <w:p w14:paraId="34A71C9A">
            <w:pPr>
              <w:snapToGrid w:val="0"/>
              <w:ind w:left="-105" w:leftChars="-50" w:right="-105" w:rightChars="-50" w:firstLine="5" w:firstLineChars="0"/>
              <w:jc w:val="center"/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581" w:type="dxa"/>
            <w:vAlign w:val="center"/>
          </w:tcPr>
          <w:p w14:paraId="6413CA8C">
            <w:pPr>
              <w:snapToGrid w:val="0"/>
              <w:jc w:val="center"/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第2学期</w:t>
            </w:r>
          </w:p>
        </w:tc>
        <w:tc>
          <w:tcPr>
            <w:tcW w:w="551" w:type="dxa"/>
            <w:vAlign w:val="center"/>
          </w:tcPr>
          <w:p w14:paraId="4E198183">
            <w:pPr>
              <w:snapToGrid w:val="0"/>
              <w:jc w:val="center"/>
              <w:rPr>
                <w:rFonts w:hint="eastAsia" w:asciiTheme="minorEastAsia" w:hAnsiTheme="minorEastAsia" w:eastAsiaTheme="minorEastAsia"/>
                <w:sz w:val="18"/>
                <w:szCs w:val="18"/>
              </w:rPr>
            </w:pPr>
          </w:p>
        </w:tc>
      </w:tr>
      <w:tr w14:paraId="25533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1" w:type="dxa"/>
            <w:vAlign w:val="center"/>
          </w:tcPr>
          <w:p w14:paraId="650D7ABC">
            <w:pPr>
              <w:snapToGrid w:val="0"/>
              <w:jc w:val="center"/>
              <w:rPr>
                <w:rFonts w:hint="eastAsia"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20"/>
                <w:szCs w:val="20"/>
                <w:highlight w:val="none"/>
              </w:rPr>
              <w:t>6423WZY00</w:t>
            </w:r>
            <w:r>
              <w:rPr>
                <w:rFonts w:hint="eastAsia" w:asciiTheme="minorEastAsia" w:hAnsiTheme="minorEastAsia" w:eastAsiaTheme="minorEastAsia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4153" w:type="dxa"/>
            <w:vAlign w:val="center"/>
          </w:tcPr>
          <w:p w14:paraId="6515F3C0">
            <w:pPr>
              <w:autoSpaceDE w:val="0"/>
              <w:autoSpaceDN w:val="0"/>
              <w:adjustRightInd w:val="0"/>
              <w:snapToGrid w:val="0"/>
              <w:jc w:val="lef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国际就业指导</w:t>
            </w:r>
          </w:p>
        </w:tc>
        <w:tc>
          <w:tcPr>
            <w:tcW w:w="708" w:type="dxa"/>
            <w:vAlign w:val="center"/>
          </w:tcPr>
          <w:p w14:paraId="1634F0DB">
            <w:pPr>
              <w:snapToGrid w:val="0"/>
              <w:ind w:left="-105" w:leftChars="-50" w:right="-105" w:rightChars="-50"/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必</w:t>
            </w:r>
            <w:r>
              <w:rPr>
                <w:rFonts w:hint="eastAsia"/>
                <w:sz w:val="18"/>
                <w:szCs w:val="18"/>
              </w:rPr>
              <w:t>修</w:t>
            </w:r>
          </w:p>
        </w:tc>
        <w:tc>
          <w:tcPr>
            <w:tcW w:w="568" w:type="dxa"/>
            <w:vAlign w:val="center"/>
          </w:tcPr>
          <w:p w14:paraId="0808CED0">
            <w:pPr>
              <w:snapToGrid w:val="0"/>
              <w:jc w:val="center"/>
              <w:rPr>
                <w:rFonts w:hint="eastAsia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67" w:type="dxa"/>
            <w:vAlign w:val="center"/>
          </w:tcPr>
          <w:p w14:paraId="54F2BF74">
            <w:pPr>
              <w:snapToGrid w:val="0"/>
              <w:jc w:val="center"/>
              <w:rPr>
                <w:rFonts w:hint="eastAsia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567" w:type="dxa"/>
            <w:vAlign w:val="center"/>
          </w:tcPr>
          <w:p w14:paraId="7FA7A053">
            <w:pPr>
              <w:snapToGrid w:val="0"/>
              <w:jc w:val="center"/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566" w:type="dxa"/>
            <w:vAlign w:val="center"/>
          </w:tcPr>
          <w:p w14:paraId="5CBE9287">
            <w:pPr>
              <w:snapToGrid w:val="0"/>
              <w:ind w:left="-105" w:leftChars="-50" w:right="-105" w:rightChars="-50" w:firstLine="5" w:firstLineChars="0"/>
              <w:jc w:val="center"/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581" w:type="dxa"/>
            <w:vAlign w:val="center"/>
          </w:tcPr>
          <w:p w14:paraId="50E61227">
            <w:pPr>
              <w:snapToGrid w:val="0"/>
              <w:jc w:val="center"/>
              <w:rPr>
                <w:rFonts w:hint="eastAsia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第2学期</w:t>
            </w:r>
          </w:p>
        </w:tc>
        <w:tc>
          <w:tcPr>
            <w:tcW w:w="551" w:type="dxa"/>
            <w:vAlign w:val="center"/>
          </w:tcPr>
          <w:p w14:paraId="2CF68B11">
            <w:pPr>
              <w:snapToGrid w:val="0"/>
              <w:jc w:val="center"/>
              <w:rPr>
                <w:rFonts w:hint="eastAsia" w:asciiTheme="minorEastAsia" w:hAnsiTheme="minorEastAsia" w:eastAsiaTheme="minorEastAsia"/>
                <w:sz w:val="18"/>
                <w:szCs w:val="18"/>
              </w:rPr>
            </w:pPr>
          </w:p>
        </w:tc>
      </w:tr>
    </w:tbl>
    <w:p w14:paraId="36E962F2">
      <w:pPr>
        <w:autoSpaceDE w:val="0"/>
        <w:autoSpaceDN w:val="0"/>
        <w:adjustRightInd w:val="0"/>
        <w:spacing w:line="360" w:lineRule="auto"/>
        <w:rPr>
          <w:rFonts w:hint="eastAsia" w:ascii="宋体" w:hAnsi="宋体"/>
          <w:bCs/>
          <w:szCs w:val="21"/>
        </w:rPr>
      </w:pPr>
    </w:p>
    <w:p w14:paraId="41B3ABEF"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黑体" w:hAnsi="黑体" w:eastAsia="黑体"/>
          <w:bCs/>
          <w:sz w:val="24"/>
        </w:rPr>
      </w:pPr>
      <w:r>
        <w:rPr>
          <w:rFonts w:hint="eastAsia" w:ascii="黑体" w:hAnsi="黑体" w:eastAsia="黑体"/>
          <w:bCs/>
          <w:sz w:val="24"/>
        </w:rPr>
        <w:t>六</w:t>
      </w:r>
      <w:r>
        <w:rPr>
          <w:rFonts w:ascii="黑体" w:hAnsi="黑体" w:eastAsia="黑体"/>
          <w:bCs/>
          <w:sz w:val="24"/>
        </w:rPr>
        <w:t>、课程简介</w:t>
      </w:r>
    </w:p>
    <w:p w14:paraId="5E96B807">
      <w:pPr>
        <w:autoSpaceDE w:val="0"/>
        <w:autoSpaceDN w:val="0"/>
        <w:adjustRightInd w:val="0"/>
        <w:spacing w:line="360" w:lineRule="auto"/>
        <w:ind w:firstLine="422" w:firstLineChars="200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 xml:space="preserve">1 </w:t>
      </w:r>
      <w:r>
        <w:rPr>
          <w:rFonts w:ascii="宋体" w:hAnsi="宋体"/>
          <w:b/>
          <w:bCs/>
          <w:szCs w:val="21"/>
        </w:rPr>
        <w:t>课程名称一：</w:t>
      </w:r>
      <w:r>
        <w:rPr>
          <w:rFonts w:hint="eastAsia" w:ascii="宋体" w:hAnsi="宋体"/>
          <w:b/>
          <w:bCs/>
          <w:szCs w:val="21"/>
        </w:rPr>
        <w:t>国际组织与全球治理</w:t>
      </w:r>
      <w:r>
        <w:rPr>
          <w:rFonts w:hint="default" w:ascii="宋体" w:hAnsi="宋体"/>
          <w:b/>
          <w:bCs/>
          <w:szCs w:val="21"/>
        </w:rPr>
        <w:t>（2学分，34学时）</w:t>
      </w:r>
    </w:p>
    <w:p w14:paraId="7C8BF1BA">
      <w:pPr>
        <w:autoSpaceDE w:val="0"/>
        <w:autoSpaceDN w:val="0"/>
        <w:adjustRightInd w:val="0"/>
        <w:spacing w:line="480" w:lineRule="exact"/>
        <w:ind w:firstLine="480" w:firstLineChars="200"/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本课程聚焦国际组织在全球治理体系中的角色演变与实践逻辑。系统讲解国际组织的历史起源、法理基础、类型特征及运作机制，结合联合国、二十国集团（G20）、世界贸易组织（WTO）等典型案例，分析全球贸易、气候治理、公共卫生等领域的治理挑战与合作路径。课程涵盖国际组织的法律人格与决策机制、全球治理的多元主体互动、联合国改革争议、非政府组织的补充作用，以及中国参与国际组织的历程与贡献（亚投行、金砖国家新开发银行、“一带一路”倡议等）。采用“理论讲授+案例研讨+模拟实践”相结合的教学方式，帮助学生理解全球治理的多元主体互动，培养跨文化沟通与国际事务分析能力，树立人类命运共同体理念。共34学时，2学分。</w:t>
      </w:r>
    </w:p>
    <w:p w14:paraId="088694EB">
      <w:pPr>
        <w:autoSpaceDE w:val="0"/>
        <w:autoSpaceDN w:val="0"/>
        <w:adjustRightInd w:val="0"/>
        <w:spacing w:line="360" w:lineRule="auto"/>
        <w:ind w:firstLine="422" w:firstLineChars="200"/>
        <w:rPr>
          <w:rFonts w:hint="default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  <w:lang w:val="en-US" w:eastAsia="zh-CN"/>
        </w:rPr>
        <w:t>2</w:t>
      </w:r>
      <w:r>
        <w:rPr>
          <w:rFonts w:hint="default" w:ascii="宋体" w:hAnsi="宋体"/>
          <w:b/>
          <w:bCs/>
          <w:szCs w:val="21"/>
        </w:rPr>
        <w:t xml:space="preserve">. </w:t>
      </w:r>
      <w:r>
        <w:rPr>
          <w:rFonts w:ascii="宋体" w:hAnsi="宋体"/>
          <w:b/>
          <w:bCs/>
          <w:szCs w:val="21"/>
        </w:rPr>
        <w:t>课程名称</w:t>
      </w:r>
      <w:r>
        <w:rPr>
          <w:rFonts w:hint="eastAsia" w:ascii="宋体" w:hAnsi="宋体"/>
          <w:b/>
          <w:bCs/>
          <w:szCs w:val="21"/>
          <w:lang w:val="en-US" w:eastAsia="zh-CN"/>
        </w:rPr>
        <w:t>二</w:t>
      </w:r>
      <w:r>
        <w:rPr>
          <w:rFonts w:ascii="宋体" w:hAnsi="宋体"/>
          <w:b/>
          <w:bCs/>
          <w:szCs w:val="21"/>
        </w:rPr>
        <w:t>：</w:t>
      </w:r>
      <w:r>
        <w:rPr>
          <w:rFonts w:hint="eastAsia" w:ascii="宋体" w:hAnsi="宋体"/>
          <w:b/>
          <w:bCs/>
          <w:szCs w:val="21"/>
        </w:rPr>
        <w:t>跨文化</w:t>
      </w:r>
      <w:r>
        <w:rPr>
          <w:rFonts w:hint="eastAsia" w:ascii="宋体" w:hAnsi="宋体"/>
          <w:b/>
          <w:bCs/>
          <w:szCs w:val="21"/>
          <w:lang w:val="en-US" w:eastAsia="zh-CN"/>
        </w:rPr>
        <w:t>交际</w:t>
      </w:r>
      <w:r>
        <w:rPr>
          <w:rFonts w:hint="default" w:ascii="宋体" w:hAnsi="宋体"/>
          <w:b/>
          <w:bCs/>
          <w:szCs w:val="21"/>
        </w:rPr>
        <w:t>（2学分，34学时）</w:t>
      </w:r>
    </w:p>
    <w:p w14:paraId="49CF1574">
      <w:pPr>
        <w:autoSpaceDE w:val="0"/>
        <w:autoSpaceDN w:val="0"/>
        <w:adjustRightInd w:val="0"/>
        <w:spacing w:line="480" w:lineRule="exact"/>
        <w:ind w:firstLine="480" w:firstLineChars="200"/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本课程系统介绍跨文化交际学的核心理论与实务技能，培养学生与不同文化背景的国际组织开展深入合作的能力。主要内容包括：文化与交际的基本概念与本质特征、文化身份认同、跨文化交际中的情感与态度障碍（民族中心主义、刻板印象、偏见等）、言语交际风格差异、非言语交际（体语、时间与空间等）、文化模式理论（霍尔的高低语境理论、霍夫斯泰德的文化维度理论等）。课程通过大量真实案例分析、小组讨论和情景模拟，帮助学生理解文化对交际活动的制约作用，发展对文化差异的敏感度与宽容度，提高处理跨文化交际问题的灵活性。课程强调理论与实践并举，培养跨文化交际意识与能力。共34学时，2学分。</w:t>
      </w:r>
    </w:p>
    <w:p w14:paraId="255161F4">
      <w:pPr>
        <w:autoSpaceDE w:val="0"/>
        <w:autoSpaceDN w:val="0"/>
        <w:adjustRightInd w:val="0"/>
        <w:spacing w:line="480" w:lineRule="exact"/>
        <w:ind w:firstLine="422" w:firstLineChars="200"/>
        <w:rPr>
          <w:rFonts w:ascii="宋体" w:hAnsi="宋体" w:eastAsia="宋体" w:cs="Times New Roman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/>
          <w:b/>
          <w:bCs/>
          <w:szCs w:val="21"/>
          <w:lang w:val="en-US" w:eastAsia="zh-CN"/>
        </w:rPr>
        <w:t>3</w:t>
      </w:r>
      <w:r>
        <w:rPr>
          <w:rFonts w:hint="default" w:ascii="宋体" w:hAnsi="宋体"/>
          <w:b/>
          <w:bCs/>
          <w:szCs w:val="21"/>
        </w:rPr>
        <w:t xml:space="preserve">. </w:t>
      </w:r>
      <w:r>
        <w:rPr>
          <w:rFonts w:ascii="宋体" w:hAnsi="宋体"/>
          <w:b/>
          <w:bCs/>
          <w:szCs w:val="21"/>
        </w:rPr>
        <w:t>课程名称</w:t>
      </w:r>
      <w:r>
        <w:rPr>
          <w:rFonts w:hint="eastAsia" w:ascii="宋体" w:hAnsi="宋体"/>
          <w:b/>
          <w:bCs/>
          <w:szCs w:val="21"/>
          <w:lang w:val="en-US" w:eastAsia="zh-CN"/>
        </w:rPr>
        <w:t>三</w:t>
      </w:r>
      <w:r>
        <w:rPr>
          <w:rFonts w:ascii="宋体" w:hAnsi="宋体"/>
          <w:b/>
          <w:bCs/>
          <w:szCs w:val="21"/>
        </w:rPr>
        <w:t>：</w:t>
      </w:r>
      <w:r>
        <w:rPr>
          <w:rFonts w:hint="default" w:ascii="宋体" w:hAnsi="宋体" w:eastAsia="宋体" w:cs="Times New Roman"/>
          <w:b/>
          <w:bCs/>
          <w:kern w:val="2"/>
          <w:sz w:val="21"/>
          <w:szCs w:val="21"/>
          <w:lang w:val="en-US" w:eastAsia="zh-CN" w:bidi="ar-SA"/>
        </w:rPr>
        <w:t>领导力与商务谈判（2学分，34学时）</w:t>
      </w:r>
    </w:p>
    <w:p w14:paraId="1EB6BE5F">
      <w:pPr>
        <w:pStyle w:val="1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Autospacing="0" w:after="160" w:afterAutospacing="0" w:line="360" w:lineRule="auto"/>
        <w:ind w:left="0" w:right="0" w:firstLine="48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kern w:val="2"/>
          <w:sz w:val="24"/>
          <w:szCs w:val="24"/>
          <w:shd w:val="clear" w:fill="FFFFFF"/>
          <w:lang w:val="en-US" w:eastAsia="zh-CN" w:bidi="ar-SA"/>
        </w:rPr>
        <w:t>本课程融合领导力理论与商务谈判实践，旨在培养学生在高复杂度、高利益冲突场景下，运用领导思维与谈判技能解决实际管理问题的能力。课程主要内容包括：领导力与谈判思维、谈判准备与利益分析、谈判策略与让步技巧、谈判中的情绪管理与领导力运用、团队谈判与内部领导协调、跨文化与高层谈判、整合式谈判与价值创造、谈判伦理与领导责任等。课程采用模拟谈判、工作坊、案例研讨、角色扮演等多元化教学方式，设置双人模拟、团队谈判、跨文化谈判演练等实训环节。通过本课程学习，学生将系统掌握谈判方案设计、策略执行与协议达成的完整能力，并能够在谈判中展现领导者的影响力、决策力与关系管理能力。共34学时，2学分。</w:t>
      </w:r>
    </w:p>
    <w:p w14:paraId="3BDC4D79">
      <w:pPr>
        <w:autoSpaceDE w:val="0"/>
        <w:autoSpaceDN w:val="0"/>
        <w:adjustRightInd w:val="0"/>
        <w:spacing w:line="360" w:lineRule="auto"/>
        <w:ind w:firstLine="422" w:firstLineChars="200"/>
        <w:rPr>
          <w:rFonts w:hint="default" w:ascii="宋体" w:hAnsi="宋体"/>
          <w:b/>
          <w:bCs/>
          <w:color w:val="auto"/>
          <w:szCs w:val="21"/>
        </w:rPr>
      </w:pPr>
      <w:r>
        <w:rPr>
          <w:rFonts w:hint="eastAsia" w:ascii="宋体" w:hAnsi="宋体"/>
          <w:b/>
          <w:bCs/>
          <w:color w:val="auto"/>
          <w:szCs w:val="21"/>
          <w:lang w:val="en-US" w:eastAsia="zh-CN"/>
        </w:rPr>
        <w:t>4.课程名称四：国际组织人才培养与全球治理</w:t>
      </w:r>
      <w:r>
        <w:rPr>
          <w:rFonts w:hint="default" w:ascii="宋体" w:hAnsi="宋体"/>
          <w:b/>
          <w:bCs/>
          <w:color w:val="auto"/>
          <w:szCs w:val="21"/>
        </w:rPr>
        <w:t>（</w:t>
      </w:r>
      <w:r>
        <w:rPr>
          <w:rFonts w:hint="eastAsia" w:ascii="宋体" w:hAnsi="宋体"/>
          <w:b/>
          <w:bCs/>
          <w:color w:val="auto"/>
          <w:szCs w:val="21"/>
          <w:lang w:val="en-US" w:eastAsia="zh-CN"/>
        </w:rPr>
        <w:t>实践课程，2</w:t>
      </w:r>
      <w:r>
        <w:rPr>
          <w:rFonts w:hint="default" w:ascii="宋体" w:hAnsi="宋体"/>
          <w:b/>
          <w:bCs/>
          <w:color w:val="auto"/>
          <w:szCs w:val="21"/>
        </w:rPr>
        <w:t>学分，34学时）</w:t>
      </w:r>
    </w:p>
    <w:p w14:paraId="42909CF1">
      <w:pPr>
        <w:autoSpaceDE w:val="0"/>
        <w:autoSpaceDN w:val="0"/>
        <w:adjustRightInd w:val="0"/>
        <w:spacing w:line="480" w:lineRule="exact"/>
        <w:ind w:firstLine="480" w:firstLineChars="200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本课程是微专业的综合实践环节，以“求职能力+国际视野+实务体验+综合素养”为导向，聚焦全球治理与国际组织核心能力培养。课程设置四个实训模块：一是涉外简历与求职文书指导，采用STAR法则实操、简历互评、一对一修改等方式，帮助学生完成规范的中英文简历与求职信；二是国际组织面试辅导与模拟演练，通过中英文自我介绍打磨、结构化面试、小组模拟面试、录像复盘等环节，提升面试应答能力；三是国际组织驻华机构参观见习，实地走访联合国开发计划署、联合国儿童基金会等机构，观摩日常工作流程，与工作人员座谈交流；四是全球治理主题工作坊与成果汇报，围绕气候变化、可持续发展、数字治理等议题开展小组研讨、方案设计与成果展示。共34学时，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学分。</w:t>
      </w:r>
    </w:p>
    <w:p w14:paraId="695605FE">
      <w:pPr>
        <w:pStyle w:val="1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Autospacing="0" w:after="160" w:afterAutospacing="0" w:line="360" w:lineRule="auto"/>
        <w:ind w:left="0" w:right="0" w:firstLine="48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</w:p>
    <w:p w14:paraId="5C47BB2D">
      <w:pPr>
        <w:autoSpaceDE w:val="0"/>
        <w:autoSpaceDN w:val="0"/>
        <w:adjustRightInd w:val="0"/>
        <w:spacing w:line="360" w:lineRule="auto"/>
        <w:ind w:firstLine="422" w:firstLineChars="200"/>
        <w:rPr>
          <w:rFonts w:hint="default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  <w:lang w:val="en-US" w:eastAsia="zh-CN"/>
        </w:rPr>
        <w:t>5</w:t>
      </w:r>
      <w:r>
        <w:rPr>
          <w:rFonts w:hint="default" w:ascii="宋体" w:hAnsi="宋体"/>
          <w:b/>
          <w:bCs/>
          <w:szCs w:val="21"/>
        </w:rPr>
        <w:t>.</w:t>
      </w:r>
      <w:r>
        <w:rPr>
          <w:rFonts w:ascii="宋体" w:hAnsi="宋体"/>
          <w:b/>
          <w:bCs/>
          <w:szCs w:val="21"/>
        </w:rPr>
        <w:t>课程名称</w:t>
      </w:r>
      <w:r>
        <w:rPr>
          <w:rFonts w:hint="eastAsia" w:ascii="宋体" w:hAnsi="宋体"/>
          <w:b/>
          <w:bCs/>
          <w:szCs w:val="21"/>
          <w:lang w:val="en-US" w:eastAsia="zh-CN"/>
        </w:rPr>
        <w:t>五</w:t>
      </w:r>
      <w:r>
        <w:rPr>
          <w:rFonts w:ascii="宋体" w:hAnsi="宋体"/>
          <w:b/>
          <w:bCs/>
          <w:szCs w:val="21"/>
        </w:rPr>
        <w:t>：</w:t>
      </w:r>
      <w:r>
        <w:rPr>
          <w:rFonts w:hint="eastAsia" w:ascii="宋体" w:hAnsi="宋体"/>
          <w:b/>
          <w:bCs/>
          <w:szCs w:val="21"/>
        </w:rPr>
        <w:t>国际法</w:t>
      </w:r>
      <w:r>
        <w:rPr>
          <w:rFonts w:hint="default" w:ascii="宋体" w:hAnsi="宋体"/>
          <w:b/>
          <w:bCs/>
          <w:szCs w:val="21"/>
        </w:rPr>
        <w:t>（2学分，3</w:t>
      </w:r>
      <w:r>
        <w:rPr>
          <w:rFonts w:hint="eastAsia" w:ascii="宋体" w:hAnsi="宋体"/>
          <w:b/>
          <w:bCs/>
          <w:szCs w:val="21"/>
          <w:lang w:val="en-US" w:eastAsia="zh-CN"/>
        </w:rPr>
        <w:t>4</w:t>
      </w:r>
      <w:r>
        <w:rPr>
          <w:rFonts w:hint="default" w:ascii="宋体" w:hAnsi="宋体"/>
          <w:b/>
          <w:bCs/>
          <w:szCs w:val="21"/>
        </w:rPr>
        <w:t>学时）</w:t>
      </w:r>
    </w:p>
    <w:p w14:paraId="17F6571F">
      <w:pPr>
        <w:autoSpaceDE w:val="0"/>
        <w:autoSpaceDN w:val="0"/>
        <w:adjustRightInd w:val="0"/>
        <w:spacing w:line="480" w:lineRule="exact"/>
        <w:ind w:firstLine="480" w:firstLineChars="200"/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本课程系统讲授国际公法的基本原理与规则制度，是理解国际组织运行规则的核心课程。主要内容包括：国际法的性质与渊源、国际法与国内法的关系、国际法基本原则（和平共处五项原则等）、国际法的主体、国际组织法（联合国系统）、国际海洋法、条约法、国际责任法、国际争端解决法、国际刑法、国际人道法等。课程结合中国在国际法理论与实践中的立场，注重分析国际法发展中的最新动态，引导学生关注新时代中国国际法观念的提升与创新。采用课堂讲授与案例讨论相结合的方式，培养学生运用国际法分析国际事件、参与国际组织实践的能力。共32学时，2学分。</w:t>
      </w:r>
    </w:p>
    <w:p w14:paraId="54816A5A">
      <w:pPr>
        <w:autoSpaceDE w:val="0"/>
        <w:autoSpaceDN w:val="0"/>
        <w:adjustRightInd w:val="0"/>
        <w:spacing w:line="360" w:lineRule="auto"/>
        <w:ind w:firstLine="422" w:firstLineChars="200"/>
        <w:rPr>
          <w:rFonts w:hint="default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  <w:lang w:val="en-US" w:eastAsia="zh-CN"/>
        </w:rPr>
        <w:t>6</w:t>
      </w:r>
      <w:r>
        <w:rPr>
          <w:rFonts w:hint="default" w:ascii="宋体" w:hAnsi="宋体"/>
          <w:b/>
          <w:bCs/>
          <w:szCs w:val="21"/>
        </w:rPr>
        <w:t xml:space="preserve">. </w:t>
      </w:r>
      <w:r>
        <w:rPr>
          <w:rFonts w:ascii="宋体" w:hAnsi="宋体"/>
          <w:b/>
          <w:bCs/>
          <w:szCs w:val="21"/>
        </w:rPr>
        <w:t>课程名称</w:t>
      </w:r>
      <w:r>
        <w:rPr>
          <w:rFonts w:hint="eastAsia" w:ascii="宋体" w:hAnsi="宋体"/>
          <w:b/>
          <w:bCs/>
          <w:szCs w:val="21"/>
          <w:lang w:val="en-US" w:eastAsia="zh-CN"/>
        </w:rPr>
        <w:t>六</w:t>
      </w:r>
      <w:r>
        <w:rPr>
          <w:rFonts w:ascii="宋体" w:hAnsi="宋体"/>
          <w:b/>
          <w:bCs/>
          <w:szCs w:val="21"/>
        </w:rPr>
        <w:t>：国际组织</w:t>
      </w:r>
      <w:r>
        <w:rPr>
          <w:rFonts w:hint="eastAsia" w:ascii="宋体" w:hAnsi="宋体"/>
          <w:b/>
          <w:bCs/>
          <w:szCs w:val="21"/>
          <w:lang w:val="en-US" w:eastAsia="zh-CN"/>
        </w:rPr>
        <w:t>就业指导</w:t>
      </w:r>
      <w:r>
        <w:rPr>
          <w:rFonts w:hint="default" w:ascii="宋体" w:hAnsi="宋体"/>
          <w:b/>
          <w:bCs/>
          <w:szCs w:val="21"/>
        </w:rPr>
        <w:t>（2学分，34学时）</w:t>
      </w:r>
    </w:p>
    <w:p w14:paraId="464B591C">
      <w:pPr>
        <w:autoSpaceDE w:val="0"/>
        <w:autoSpaceDN w:val="0"/>
        <w:adjustRightInd w:val="0"/>
        <w:spacing w:line="480" w:lineRule="exact"/>
        <w:ind w:firstLine="480" w:firstLineChars="200"/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本课程面向有志于国际组织实习、就业及涉外职业发展的学生，系统讲授国际组织求职的核心知识与方法。主要内容包括：国际组织的类型、运行逻辑与全球治理议题；国际组织实习、志愿者项目、青年专业人员项目（YPP）、初级专业人员项目（JPO）及正式岗位等申请路径；联合国、世界银行、经合组织等机构的能力模型与岗位要求；官方信息渠道检索与岗位匹配度判断方法；英文简历与求职信的结构、写作逻辑和经历表达技巧；国际组织面试类型与常见问题应答思路；在线测评与招聘流程理解；长期职业规划与个人差距分析。采用课堂讲授、案例分析、小组讨论、岗位拆解和模拟演练等方式，帮助学生建立较完整的国际组织就业认知与准备体系。共34学时，2学分。</w:t>
      </w:r>
    </w:p>
    <w:p w14:paraId="42DF2D4E">
      <w:pPr>
        <w:autoSpaceDE w:val="0"/>
        <w:adjustRightInd w:val="0"/>
        <w:snapToGrid w:val="0"/>
        <w:spacing w:line="480" w:lineRule="exact"/>
        <w:ind w:firstLine="420" w:firstLineChars="0"/>
        <w:rPr>
          <w:rFonts w:hint="eastAsia" w:ascii="黑体" w:hAnsi="黑体" w:eastAsia="黑体"/>
          <w:bCs/>
          <w:sz w:val="24"/>
        </w:rPr>
      </w:pPr>
      <w:r>
        <w:rPr>
          <w:rFonts w:hint="eastAsia" w:ascii="黑体" w:hAnsi="黑体" w:eastAsia="黑体"/>
          <w:bCs/>
          <w:sz w:val="24"/>
        </w:rPr>
        <w:t>七、结业标准</w:t>
      </w:r>
    </w:p>
    <w:p w14:paraId="7819231F">
      <w:pPr>
        <w:autoSpaceDE w:val="0"/>
        <w:autoSpaceDN w:val="0"/>
        <w:adjustRightInd w:val="0"/>
        <w:spacing w:line="480" w:lineRule="exact"/>
        <w:ind w:firstLine="480" w:firstLineChars="200"/>
        <w:rPr>
          <w:rFonts w:hint="eastAsia" w:ascii="宋体" w:hAnsi="宋体"/>
          <w:bCs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学生</w:t>
      </w:r>
      <w:r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修完本微专业培养方案规定的全部课程，成绩合格，达到最低结业学分要求，经开设单位审核，报河北大学教务处审定，颁发微专业证书，不授予学位。</w:t>
      </w:r>
    </w:p>
    <w:p w14:paraId="46473DEB">
      <w:pPr>
        <w:jc w:val="right"/>
      </w:pPr>
    </w:p>
    <w:p w14:paraId="361F45C0">
      <w:pPr>
        <w:adjustRightInd w:val="0"/>
        <w:snapToGrid w:val="0"/>
        <w:spacing w:line="360" w:lineRule="auto"/>
        <w:ind w:firstLine="420" w:firstLineChars="200"/>
        <w:jc w:val="right"/>
        <w:rPr>
          <w:rFonts w:hint="eastAsia" w:ascii="黑体" w:hAnsi="黑体" w:eastAsia="黑体"/>
          <w:color w:val="000000"/>
        </w:rPr>
      </w:pPr>
      <w:r>
        <w:rPr>
          <w:rFonts w:hint="eastAsia" w:ascii="黑体" w:hAnsi="黑体" w:eastAsia="黑体" w:cs="黑体"/>
          <w:color w:val="000000"/>
        </w:rPr>
        <w:t>编制：</w:t>
      </w:r>
      <w:r>
        <w:rPr>
          <w:rFonts w:ascii="黑体" w:hAnsi="黑体" w:eastAsia="黑体"/>
          <w:color w:val="000000"/>
        </w:rPr>
        <w:t>×××</w:t>
      </w:r>
      <w:r>
        <w:rPr>
          <w:rFonts w:hint="eastAsia" w:ascii="黑体" w:hAnsi="黑体" w:eastAsia="黑体" w:cs="黑体"/>
          <w:color w:val="000000"/>
        </w:rPr>
        <w:t>（黑体五号）</w:t>
      </w:r>
    </w:p>
    <w:p w14:paraId="58F190A7">
      <w:pPr>
        <w:adjustRightInd w:val="0"/>
        <w:snapToGrid w:val="0"/>
        <w:spacing w:line="360" w:lineRule="auto"/>
        <w:jc w:val="right"/>
        <w:rPr>
          <w:rFonts w:hint="eastAsia" w:ascii="宋体" w:hAnsi="宋体"/>
          <w:bCs/>
          <w:szCs w:val="21"/>
        </w:rPr>
      </w:pPr>
      <w:r>
        <w:rPr>
          <w:rFonts w:hint="eastAsia" w:ascii="黑体" w:hAnsi="黑体" w:eastAsia="黑体" w:cs="黑体"/>
          <w:color w:val="000000"/>
        </w:rPr>
        <w:t>审核：</w:t>
      </w:r>
      <w:r>
        <w:rPr>
          <w:rFonts w:ascii="黑体" w:hAnsi="黑体" w:eastAsia="黑体"/>
          <w:color w:val="000000"/>
        </w:rPr>
        <w:t>×××</w:t>
      </w:r>
      <w:r>
        <w:rPr>
          <w:rFonts w:hint="eastAsia" w:ascii="黑体" w:hAnsi="黑体" w:eastAsia="黑体" w:cs="黑体"/>
          <w:color w:val="000000"/>
        </w:rPr>
        <w:t>（黑体五号）</w:t>
      </w:r>
    </w:p>
    <w:sectPr>
      <w:pgSz w:w="11906" w:h="16838"/>
      <w:pgMar w:top="1701" w:right="1701" w:bottom="1701" w:left="1701" w:header="851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D92BC3"/>
    <w:multiLevelType w:val="multilevel"/>
    <w:tmpl w:val="3FD92BC3"/>
    <w:lvl w:ilvl="0" w:tentative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hint="default"/>
      </w:rPr>
    </w:lvl>
    <w:lvl w:ilvl="1" w:tentative="0">
      <w:start w:val="1"/>
      <w:numFmt w:val="decimal"/>
      <w:pStyle w:val="54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B71"/>
    <w:rsid w:val="0000192C"/>
    <w:rsid w:val="000037D7"/>
    <w:rsid w:val="000048A7"/>
    <w:rsid w:val="00007E75"/>
    <w:rsid w:val="00007F89"/>
    <w:rsid w:val="00011160"/>
    <w:rsid w:val="00013819"/>
    <w:rsid w:val="00014216"/>
    <w:rsid w:val="00017135"/>
    <w:rsid w:val="000252EF"/>
    <w:rsid w:val="0002578B"/>
    <w:rsid w:val="00026A59"/>
    <w:rsid w:val="00027755"/>
    <w:rsid w:val="00030A08"/>
    <w:rsid w:val="0003136C"/>
    <w:rsid w:val="00031476"/>
    <w:rsid w:val="00035DE8"/>
    <w:rsid w:val="00035F00"/>
    <w:rsid w:val="000362B2"/>
    <w:rsid w:val="00037218"/>
    <w:rsid w:val="00043A4E"/>
    <w:rsid w:val="000543BD"/>
    <w:rsid w:val="00057348"/>
    <w:rsid w:val="00063025"/>
    <w:rsid w:val="000643B7"/>
    <w:rsid w:val="00070982"/>
    <w:rsid w:val="00070C6D"/>
    <w:rsid w:val="000711B7"/>
    <w:rsid w:val="00072EC6"/>
    <w:rsid w:val="00073323"/>
    <w:rsid w:val="000763AA"/>
    <w:rsid w:val="0008090B"/>
    <w:rsid w:val="00080992"/>
    <w:rsid w:val="00081FCB"/>
    <w:rsid w:val="000832EA"/>
    <w:rsid w:val="000841C5"/>
    <w:rsid w:val="00095326"/>
    <w:rsid w:val="000A0727"/>
    <w:rsid w:val="000A15F9"/>
    <w:rsid w:val="000A16AE"/>
    <w:rsid w:val="000A4BAE"/>
    <w:rsid w:val="000A6F2A"/>
    <w:rsid w:val="000B45C6"/>
    <w:rsid w:val="000B595A"/>
    <w:rsid w:val="000B5BBD"/>
    <w:rsid w:val="000B601D"/>
    <w:rsid w:val="000C48E5"/>
    <w:rsid w:val="000C6C3C"/>
    <w:rsid w:val="000D043A"/>
    <w:rsid w:val="000D076B"/>
    <w:rsid w:val="000D38BA"/>
    <w:rsid w:val="000E28FD"/>
    <w:rsid w:val="000E327D"/>
    <w:rsid w:val="000E3FEB"/>
    <w:rsid w:val="000E4A0F"/>
    <w:rsid w:val="000E4C3D"/>
    <w:rsid w:val="000E73F1"/>
    <w:rsid w:val="000F08E5"/>
    <w:rsid w:val="000F7F8E"/>
    <w:rsid w:val="0010750F"/>
    <w:rsid w:val="0010752A"/>
    <w:rsid w:val="00116029"/>
    <w:rsid w:val="0011687D"/>
    <w:rsid w:val="001242C7"/>
    <w:rsid w:val="001246C2"/>
    <w:rsid w:val="00124D8D"/>
    <w:rsid w:val="00126515"/>
    <w:rsid w:val="0013428A"/>
    <w:rsid w:val="00137324"/>
    <w:rsid w:val="00145AD7"/>
    <w:rsid w:val="00146450"/>
    <w:rsid w:val="00151A0A"/>
    <w:rsid w:val="00161506"/>
    <w:rsid w:val="0016175C"/>
    <w:rsid w:val="00163A6A"/>
    <w:rsid w:val="00176370"/>
    <w:rsid w:val="00177529"/>
    <w:rsid w:val="00177F2F"/>
    <w:rsid w:val="00180083"/>
    <w:rsid w:val="0018702C"/>
    <w:rsid w:val="00190E6E"/>
    <w:rsid w:val="00193E26"/>
    <w:rsid w:val="00194001"/>
    <w:rsid w:val="00196B80"/>
    <w:rsid w:val="001A0549"/>
    <w:rsid w:val="001A0CB2"/>
    <w:rsid w:val="001A48CF"/>
    <w:rsid w:val="001B0378"/>
    <w:rsid w:val="001B4E0C"/>
    <w:rsid w:val="001C1448"/>
    <w:rsid w:val="001C3648"/>
    <w:rsid w:val="001D4796"/>
    <w:rsid w:val="001D5802"/>
    <w:rsid w:val="001D5F5E"/>
    <w:rsid w:val="001E1DFF"/>
    <w:rsid w:val="001E3DC9"/>
    <w:rsid w:val="001E4EEE"/>
    <w:rsid w:val="001E57C0"/>
    <w:rsid w:val="001E65D6"/>
    <w:rsid w:val="001F282B"/>
    <w:rsid w:val="001F47C3"/>
    <w:rsid w:val="001F67EA"/>
    <w:rsid w:val="002004BA"/>
    <w:rsid w:val="002006A7"/>
    <w:rsid w:val="00202425"/>
    <w:rsid w:val="00204104"/>
    <w:rsid w:val="002054DF"/>
    <w:rsid w:val="00210678"/>
    <w:rsid w:val="002109BA"/>
    <w:rsid w:val="0021129E"/>
    <w:rsid w:val="00224048"/>
    <w:rsid w:val="00226A06"/>
    <w:rsid w:val="00231CDB"/>
    <w:rsid w:val="00231E9D"/>
    <w:rsid w:val="00231F68"/>
    <w:rsid w:val="00234A2C"/>
    <w:rsid w:val="0023707F"/>
    <w:rsid w:val="00242E8F"/>
    <w:rsid w:val="00253E96"/>
    <w:rsid w:val="0025494D"/>
    <w:rsid w:val="00254A43"/>
    <w:rsid w:val="00257B3B"/>
    <w:rsid w:val="002643EE"/>
    <w:rsid w:val="00266349"/>
    <w:rsid w:val="002663AE"/>
    <w:rsid w:val="00266D85"/>
    <w:rsid w:val="00271593"/>
    <w:rsid w:val="0027281D"/>
    <w:rsid w:val="00280C30"/>
    <w:rsid w:val="0028128F"/>
    <w:rsid w:val="00283002"/>
    <w:rsid w:val="00283268"/>
    <w:rsid w:val="00284013"/>
    <w:rsid w:val="00284160"/>
    <w:rsid w:val="0028546B"/>
    <w:rsid w:val="0029371B"/>
    <w:rsid w:val="002A0821"/>
    <w:rsid w:val="002A44A1"/>
    <w:rsid w:val="002A594E"/>
    <w:rsid w:val="002B2A70"/>
    <w:rsid w:val="002B3375"/>
    <w:rsid w:val="002B5422"/>
    <w:rsid w:val="002C0243"/>
    <w:rsid w:val="002C479A"/>
    <w:rsid w:val="002C4F73"/>
    <w:rsid w:val="002C5049"/>
    <w:rsid w:val="002C677E"/>
    <w:rsid w:val="002D1DF2"/>
    <w:rsid w:val="002D27D1"/>
    <w:rsid w:val="002D2E37"/>
    <w:rsid w:val="002D4B8F"/>
    <w:rsid w:val="002E6913"/>
    <w:rsid w:val="002E76D5"/>
    <w:rsid w:val="002F265F"/>
    <w:rsid w:val="002F3FA1"/>
    <w:rsid w:val="002F4484"/>
    <w:rsid w:val="002F501A"/>
    <w:rsid w:val="002F7DD5"/>
    <w:rsid w:val="003027C8"/>
    <w:rsid w:val="003028BB"/>
    <w:rsid w:val="0030381D"/>
    <w:rsid w:val="003109CB"/>
    <w:rsid w:val="00311004"/>
    <w:rsid w:val="00313BBC"/>
    <w:rsid w:val="00315AB6"/>
    <w:rsid w:val="00317C56"/>
    <w:rsid w:val="00322FD3"/>
    <w:rsid w:val="00323599"/>
    <w:rsid w:val="00323D3C"/>
    <w:rsid w:val="003248D9"/>
    <w:rsid w:val="00326D04"/>
    <w:rsid w:val="00327184"/>
    <w:rsid w:val="00333A2A"/>
    <w:rsid w:val="00334659"/>
    <w:rsid w:val="003409C7"/>
    <w:rsid w:val="003414A5"/>
    <w:rsid w:val="00341E96"/>
    <w:rsid w:val="00343306"/>
    <w:rsid w:val="00347066"/>
    <w:rsid w:val="00364478"/>
    <w:rsid w:val="00372FB2"/>
    <w:rsid w:val="00377F15"/>
    <w:rsid w:val="00380DC7"/>
    <w:rsid w:val="003926AC"/>
    <w:rsid w:val="003926D4"/>
    <w:rsid w:val="00397CC3"/>
    <w:rsid w:val="003A2ACD"/>
    <w:rsid w:val="003A3D05"/>
    <w:rsid w:val="003A4EE2"/>
    <w:rsid w:val="003B450D"/>
    <w:rsid w:val="003B5583"/>
    <w:rsid w:val="003C2D62"/>
    <w:rsid w:val="003C3CA2"/>
    <w:rsid w:val="003C6E86"/>
    <w:rsid w:val="003C7FB1"/>
    <w:rsid w:val="003D07A7"/>
    <w:rsid w:val="003D26C3"/>
    <w:rsid w:val="003D2713"/>
    <w:rsid w:val="003D3888"/>
    <w:rsid w:val="003D555B"/>
    <w:rsid w:val="003D61D3"/>
    <w:rsid w:val="003D77BD"/>
    <w:rsid w:val="003E3398"/>
    <w:rsid w:val="003E4CC5"/>
    <w:rsid w:val="003E6079"/>
    <w:rsid w:val="003F2719"/>
    <w:rsid w:val="00403230"/>
    <w:rsid w:val="00403BFB"/>
    <w:rsid w:val="00404D0C"/>
    <w:rsid w:val="0040722A"/>
    <w:rsid w:val="00407824"/>
    <w:rsid w:val="00411D4B"/>
    <w:rsid w:val="004127C6"/>
    <w:rsid w:val="00415782"/>
    <w:rsid w:val="0041596F"/>
    <w:rsid w:val="00426CBD"/>
    <w:rsid w:val="00435C46"/>
    <w:rsid w:val="00436559"/>
    <w:rsid w:val="004419E0"/>
    <w:rsid w:val="004548FF"/>
    <w:rsid w:val="004569E9"/>
    <w:rsid w:val="0046710B"/>
    <w:rsid w:val="00467B27"/>
    <w:rsid w:val="00470111"/>
    <w:rsid w:val="0047126B"/>
    <w:rsid w:val="0047263E"/>
    <w:rsid w:val="004759BF"/>
    <w:rsid w:val="00480668"/>
    <w:rsid w:val="00482B93"/>
    <w:rsid w:val="004876AE"/>
    <w:rsid w:val="0049070E"/>
    <w:rsid w:val="00490CD3"/>
    <w:rsid w:val="004A4116"/>
    <w:rsid w:val="004B104B"/>
    <w:rsid w:val="004B78AB"/>
    <w:rsid w:val="004C05DC"/>
    <w:rsid w:val="004C075F"/>
    <w:rsid w:val="004C30B4"/>
    <w:rsid w:val="004C3596"/>
    <w:rsid w:val="004D04FB"/>
    <w:rsid w:val="004D318F"/>
    <w:rsid w:val="004D4670"/>
    <w:rsid w:val="004F22AC"/>
    <w:rsid w:val="004F44C4"/>
    <w:rsid w:val="004F79B9"/>
    <w:rsid w:val="004F7F53"/>
    <w:rsid w:val="00500118"/>
    <w:rsid w:val="00500CB3"/>
    <w:rsid w:val="00514276"/>
    <w:rsid w:val="00515B58"/>
    <w:rsid w:val="00516577"/>
    <w:rsid w:val="005204B6"/>
    <w:rsid w:val="005269FF"/>
    <w:rsid w:val="00530193"/>
    <w:rsid w:val="00530667"/>
    <w:rsid w:val="005321FC"/>
    <w:rsid w:val="0053412D"/>
    <w:rsid w:val="00534E76"/>
    <w:rsid w:val="00535983"/>
    <w:rsid w:val="005367A5"/>
    <w:rsid w:val="005379F3"/>
    <w:rsid w:val="005451B1"/>
    <w:rsid w:val="0054706E"/>
    <w:rsid w:val="0055772A"/>
    <w:rsid w:val="005579FD"/>
    <w:rsid w:val="005602EE"/>
    <w:rsid w:val="00561276"/>
    <w:rsid w:val="00562044"/>
    <w:rsid w:val="00564DA9"/>
    <w:rsid w:val="0058184F"/>
    <w:rsid w:val="005861F7"/>
    <w:rsid w:val="005871AA"/>
    <w:rsid w:val="00592AF6"/>
    <w:rsid w:val="005A525F"/>
    <w:rsid w:val="005A757A"/>
    <w:rsid w:val="005B02C0"/>
    <w:rsid w:val="005B09AD"/>
    <w:rsid w:val="005B733E"/>
    <w:rsid w:val="005C3267"/>
    <w:rsid w:val="005C3AAC"/>
    <w:rsid w:val="005D0336"/>
    <w:rsid w:val="005D778B"/>
    <w:rsid w:val="005E1A17"/>
    <w:rsid w:val="005E3295"/>
    <w:rsid w:val="005E3A72"/>
    <w:rsid w:val="005E5BA8"/>
    <w:rsid w:val="005F0F1A"/>
    <w:rsid w:val="005F220A"/>
    <w:rsid w:val="005F30FE"/>
    <w:rsid w:val="005F4F86"/>
    <w:rsid w:val="005F5D23"/>
    <w:rsid w:val="0060014F"/>
    <w:rsid w:val="00605EBB"/>
    <w:rsid w:val="006116ED"/>
    <w:rsid w:val="00613BCE"/>
    <w:rsid w:val="006215CE"/>
    <w:rsid w:val="00623262"/>
    <w:rsid w:val="0063328C"/>
    <w:rsid w:val="006340D3"/>
    <w:rsid w:val="0063461D"/>
    <w:rsid w:val="00635D7D"/>
    <w:rsid w:val="00642283"/>
    <w:rsid w:val="006458B1"/>
    <w:rsid w:val="0066122C"/>
    <w:rsid w:val="006615C4"/>
    <w:rsid w:val="00661712"/>
    <w:rsid w:val="00662018"/>
    <w:rsid w:val="0066513B"/>
    <w:rsid w:val="00671086"/>
    <w:rsid w:val="00673994"/>
    <w:rsid w:val="00673A68"/>
    <w:rsid w:val="00683498"/>
    <w:rsid w:val="00683F93"/>
    <w:rsid w:val="00687172"/>
    <w:rsid w:val="00690BBF"/>
    <w:rsid w:val="006955D9"/>
    <w:rsid w:val="006966C7"/>
    <w:rsid w:val="006A0564"/>
    <w:rsid w:val="006A2C13"/>
    <w:rsid w:val="006B578B"/>
    <w:rsid w:val="006B6ED1"/>
    <w:rsid w:val="006C2066"/>
    <w:rsid w:val="006C5C09"/>
    <w:rsid w:val="006C7585"/>
    <w:rsid w:val="006D1D90"/>
    <w:rsid w:val="006D4DF4"/>
    <w:rsid w:val="006D5EB4"/>
    <w:rsid w:val="006E05BE"/>
    <w:rsid w:val="006E5413"/>
    <w:rsid w:val="006E6C36"/>
    <w:rsid w:val="006F091E"/>
    <w:rsid w:val="006F2A95"/>
    <w:rsid w:val="006F3FEE"/>
    <w:rsid w:val="00701765"/>
    <w:rsid w:val="007035D2"/>
    <w:rsid w:val="00703DBA"/>
    <w:rsid w:val="007058EE"/>
    <w:rsid w:val="007074CC"/>
    <w:rsid w:val="00707BC2"/>
    <w:rsid w:val="00712D62"/>
    <w:rsid w:val="00720336"/>
    <w:rsid w:val="00722675"/>
    <w:rsid w:val="00724B86"/>
    <w:rsid w:val="00731113"/>
    <w:rsid w:val="007340D9"/>
    <w:rsid w:val="0074191E"/>
    <w:rsid w:val="00741A4C"/>
    <w:rsid w:val="007437DF"/>
    <w:rsid w:val="00744054"/>
    <w:rsid w:val="00754395"/>
    <w:rsid w:val="00754A0F"/>
    <w:rsid w:val="00765460"/>
    <w:rsid w:val="00765926"/>
    <w:rsid w:val="00766A79"/>
    <w:rsid w:val="007726E5"/>
    <w:rsid w:val="007763BC"/>
    <w:rsid w:val="00790D32"/>
    <w:rsid w:val="007916CC"/>
    <w:rsid w:val="00795B4E"/>
    <w:rsid w:val="007A327C"/>
    <w:rsid w:val="007A51F9"/>
    <w:rsid w:val="007A7C95"/>
    <w:rsid w:val="007B4F48"/>
    <w:rsid w:val="007B6B75"/>
    <w:rsid w:val="007B75A0"/>
    <w:rsid w:val="007C05E1"/>
    <w:rsid w:val="007C3001"/>
    <w:rsid w:val="007C60BD"/>
    <w:rsid w:val="007C62A3"/>
    <w:rsid w:val="007D2894"/>
    <w:rsid w:val="007D3230"/>
    <w:rsid w:val="007D3617"/>
    <w:rsid w:val="007D3C49"/>
    <w:rsid w:val="007D6366"/>
    <w:rsid w:val="007E031E"/>
    <w:rsid w:val="007E0746"/>
    <w:rsid w:val="007E30A4"/>
    <w:rsid w:val="007E3A42"/>
    <w:rsid w:val="007E4655"/>
    <w:rsid w:val="007E6FF3"/>
    <w:rsid w:val="007E77F5"/>
    <w:rsid w:val="007F078E"/>
    <w:rsid w:val="008025FB"/>
    <w:rsid w:val="0080350D"/>
    <w:rsid w:val="0080369E"/>
    <w:rsid w:val="00805DF9"/>
    <w:rsid w:val="0081318C"/>
    <w:rsid w:val="00814CBC"/>
    <w:rsid w:val="00815C4F"/>
    <w:rsid w:val="00815CE4"/>
    <w:rsid w:val="00817543"/>
    <w:rsid w:val="00821BD5"/>
    <w:rsid w:val="00822D32"/>
    <w:rsid w:val="00826848"/>
    <w:rsid w:val="008277B1"/>
    <w:rsid w:val="00835973"/>
    <w:rsid w:val="00836A81"/>
    <w:rsid w:val="008405E4"/>
    <w:rsid w:val="0084166E"/>
    <w:rsid w:val="00842590"/>
    <w:rsid w:val="00850DA5"/>
    <w:rsid w:val="008510E6"/>
    <w:rsid w:val="008512A0"/>
    <w:rsid w:val="00853245"/>
    <w:rsid w:val="00854F4B"/>
    <w:rsid w:val="0086033E"/>
    <w:rsid w:val="00862019"/>
    <w:rsid w:val="00870B35"/>
    <w:rsid w:val="00871E3C"/>
    <w:rsid w:val="00885D78"/>
    <w:rsid w:val="00890729"/>
    <w:rsid w:val="0089171E"/>
    <w:rsid w:val="008A228D"/>
    <w:rsid w:val="008A2CCD"/>
    <w:rsid w:val="008A4564"/>
    <w:rsid w:val="008B19A4"/>
    <w:rsid w:val="008B27B1"/>
    <w:rsid w:val="008B5463"/>
    <w:rsid w:val="008C2859"/>
    <w:rsid w:val="008D26C5"/>
    <w:rsid w:val="008D3059"/>
    <w:rsid w:val="008D4943"/>
    <w:rsid w:val="008E0C61"/>
    <w:rsid w:val="008E4829"/>
    <w:rsid w:val="008F1514"/>
    <w:rsid w:val="008F163F"/>
    <w:rsid w:val="008F53B8"/>
    <w:rsid w:val="008F618D"/>
    <w:rsid w:val="009019E6"/>
    <w:rsid w:val="00907000"/>
    <w:rsid w:val="00912BB3"/>
    <w:rsid w:val="00916443"/>
    <w:rsid w:val="0092454C"/>
    <w:rsid w:val="00925E04"/>
    <w:rsid w:val="0092747A"/>
    <w:rsid w:val="00927BE8"/>
    <w:rsid w:val="00932433"/>
    <w:rsid w:val="00932863"/>
    <w:rsid w:val="00932DFD"/>
    <w:rsid w:val="00943A3E"/>
    <w:rsid w:val="009475E4"/>
    <w:rsid w:val="009505C1"/>
    <w:rsid w:val="009528B1"/>
    <w:rsid w:val="00955B06"/>
    <w:rsid w:val="009568C0"/>
    <w:rsid w:val="00961572"/>
    <w:rsid w:val="00962D9F"/>
    <w:rsid w:val="009676AB"/>
    <w:rsid w:val="00976CE5"/>
    <w:rsid w:val="009823D4"/>
    <w:rsid w:val="00991591"/>
    <w:rsid w:val="009924FA"/>
    <w:rsid w:val="009978CA"/>
    <w:rsid w:val="009A1F1F"/>
    <w:rsid w:val="009A34FE"/>
    <w:rsid w:val="009B755F"/>
    <w:rsid w:val="009B75A0"/>
    <w:rsid w:val="009C05C0"/>
    <w:rsid w:val="009C1FEC"/>
    <w:rsid w:val="009C2E19"/>
    <w:rsid w:val="009C5433"/>
    <w:rsid w:val="009C5915"/>
    <w:rsid w:val="009D0A77"/>
    <w:rsid w:val="009D24C0"/>
    <w:rsid w:val="009D3DB3"/>
    <w:rsid w:val="009D756D"/>
    <w:rsid w:val="009E13C9"/>
    <w:rsid w:val="009E1A28"/>
    <w:rsid w:val="009E2DE9"/>
    <w:rsid w:val="009E3D0F"/>
    <w:rsid w:val="009E4EE8"/>
    <w:rsid w:val="009F0D44"/>
    <w:rsid w:val="009F124F"/>
    <w:rsid w:val="009F1F91"/>
    <w:rsid w:val="009F2462"/>
    <w:rsid w:val="009F36F3"/>
    <w:rsid w:val="00A02862"/>
    <w:rsid w:val="00A03107"/>
    <w:rsid w:val="00A10A09"/>
    <w:rsid w:val="00A20B89"/>
    <w:rsid w:val="00A20CB3"/>
    <w:rsid w:val="00A217F6"/>
    <w:rsid w:val="00A22824"/>
    <w:rsid w:val="00A23796"/>
    <w:rsid w:val="00A307CF"/>
    <w:rsid w:val="00A33B64"/>
    <w:rsid w:val="00A36F2F"/>
    <w:rsid w:val="00A4000E"/>
    <w:rsid w:val="00A422D0"/>
    <w:rsid w:val="00A42435"/>
    <w:rsid w:val="00A45785"/>
    <w:rsid w:val="00A475D1"/>
    <w:rsid w:val="00A47A23"/>
    <w:rsid w:val="00A519F1"/>
    <w:rsid w:val="00A52700"/>
    <w:rsid w:val="00A53E12"/>
    <w:rsid w:val="00A54A30"/>
    <w:rsid w:val="00A66FF6"/>
    <w:rsid w:val="00A72FCE"/>
    <w:rsid w:val="00A8488E"/>
    <w:rsid w:val="00A848B6"/>
    <w:rsid w:val="00A87532"/>
    <w:rsid w:val="00A91ADE"/>
    <w:rsid w:val="00A91B71"/>
    <w:rsid w:val="00AA4B15"/>
    <w:rsid w:val="00AA705F"/>
    <w:rsid w:val="00AB0740"/>
    <w:rsid w:val="00AB6261"/>
    <w:rsid w:val="00AC3A19"/>
    <w:rsid w:val="00AC69F0"/>
    <w:rsid w:val="00AD11A1"/>
    <w:rsid w:val="00AD3AD0"/>
    <w:rsid w:val="00AD3CBE"/>
    <w:rsid w:val="00AD5D0E"/>
    <w:rsid w:val="00AE430F"/>
    <w:rsid w:val="00AE4C90"/>
    <w:rsid w:val="00AE6404"/>
    <w:rsid w:val="00AF2573"/>
    <w:rsid w:val="00AF2D8B"/>
    <w:rsid w:val="00B044DD"/>
    <w:rsid w:val="00B10D2C"/>
    <w:rsid w:val="00B10FC7"/>
    <w:rsid w:val="00B114EB"/>
    <w:rsid w:val="00B2100F"/>
    <w:rsid w:val="00B228F3"/>
    <w:rsid w:val="00B238F9"/>
    <w:rsid w:val="00B326E6"/>
    <w:rsid w:val="00B400DC"/>
    <w:rsid w:val="00B42467"/>
    <w:rsid w:val="00B43605"/>
    <w:rsid w:val="00B43A30"/>
    <w:rsid w:val="00B4763E"/>
    <w:rsid w:val="00B47A45"/>
    <w:rsid w:val="00B52BB2"/>
    <w:rsid w:val="00B55C9F"/>
    <w:rsid w:val="00B609CB"/>
    <w:rsid w:val="00B63743"/>
    <w:rsid w:val="00B67865"/>
    <w:rsid w:val="00B73F21"/>
    <w:rsid w:val="00B74C9E"/>
    <w:rsid w:val="00B81A41"/>
    <w:rsid w:val="00B826F2"/>
    <w:rsid w:val="00B901C3"/>
    <w:rsid w:val="00B902EC"/>
    <w:rsid w:val="00B97202"/>
    <w:rsid w:val="00BA08BA"/>
    <w:rsid w:val="00BA2820"/>
    <w:rsid w:val="00BA5BA1"/>
    <w:rsid w:val="00BB214C"/>
    <w:rsid w:val="00BB58DC"/>
    <w:rsid w:val="00BB6163"/>
    <w:rsid w:val="00BB625F"/>
    <w:rsid w:val="00BC0E86"/>
    <w:rsid w:val="00BC131B"/>
    <w:rsid w:val="00BC3FC4"/>
    <w:rsid w:val="00BD0906"/>
    <w:rsid w:val="00BD7D30"/>
    <w:rsid w:val="00BE3249"/>
    <w:rsid w:val="00BE52C8"/>
    <w:rsid w:val="00BE5BF3"/>
    <w:rsid w:val="00BF0160"/>
    <w:rsid w:val="00BF127E"/>
    <w:rsid w:val="00BF3C33"/>
    <w:rsid w:val="00BF650A"/>
    <w:rsid w:val="00C02D82"/>
    <w:rsid w:val="00C03328"/>
    <w:rsid w:val="00C052AF"/>
    <w:rsid w:val="00C10169"/>
    <w:rsid w:val="00C10D6A"/>
    <w:rsid w:val="00C13A10"/>
    <w:rsid w:val="00C157B4"/>
    <w:rsid w:val="00C17539"/>
    <w:rsid w:val="00C222AF"/>
    <w:rsid w:val="00C23197"/>
    <w:rsid w:val="00C23CB6"/>
    <w:rsid w:val="00C2689D"/>
    <w:rsid w:val="00C26B4D"/>
    <w:rsid w:val="00C31956"/>
    <w:rsid w:val="00C32620"/>
    <w:rsid w:val="00C33311"/>
    <w:rsid w:val="00C3707A"/>
    <w:rsid w:val="00C3757B"/>
    <w:rsid w:val="00C44422"/>
    <w:rsid w:val="00C4652C"/>
    <w:rsid w:val="00C47704"/>
    <w:rsid w:val="00C5201D"/>
    <w:rsid w:val="00C56348"/>
    <w:rsid w:val="00C57ECA"/>
    <w:rsid w:val="00C638E0"/>
    <w:rsid w:val="00C707FF"/>
    <w:rsid w:val="00C71445"/>
    <w:rsid w:val="00C71CAD"/>
    <w:rsid w:val="00C7302B"/>
    <w:rsid w:val="00C748BA"/>
    <w:rsid w:val="00C750ED"/>
    <w:rsid w:val="00C81A86"/>
    <w:rsid w:val="00C83FAB"/>
    <w:rsid w:val="00C9084A"/>
    <w:rsid w:val="00C92A12"/>
    <w:rsid w:val="00C96CC9"/>
    <w:rsid w:val="00CA2A62"/>
    <w:rsid w:val="00CB13A4"/>
    <w:rsid w:val="00CB3EE2"/>
    <w:rsid w:val="00CB4EBF"/>
    <w:rsid w:val="00CB66C6"/>
    <w:rsid w:val="00CC252E"/>
    <w:rsid w:val="00CC7191"/>
    <w:rsid w:val="00CD0988"/>
    <w:rsid w:val="00CD744F"/>
    <w:rsid w:val="00CE0FE9"/>
    <w:rsid w:val="00CE3DEF"/>
    <w:rsid w:val="00CF4844"/>
    <w:rsid w:val="00CF4F3B"/>
    <w:rsid w:val="00CF63A7"/>
    <w:rsid w:val="00CF688C"/>
    <w:rsid w:val="00CF7370"/>
    <w:rsid w:val="00D00ACE"/>
    <w:rsid w:val="00D017AD"/>
    <w:rsid w:val="00D03E20"/>
    <w:rsid w:val="00D04417"/>
    <w:rsid w:val="00D0640C"/>
    <w:rsid w:val="00D1071B"/>
    <w:rsid w:val="00D11EE7"/>
    <w:rsid w:val="00D1544E"/>
    <w:rsid w:val="00D2165D"/>
    <w:rsid w:val="00D26E54"/>
    <w:rsid w:val="00D31D9D"/>
    <w:rsid w:val="00D339CA"/>
    <w:rsid w:val="00D34BAC"/>
    <w:rsid w:val="00D36362"/>
    <w:rsid w:val="00D42EF8"/>
    <w:rsid w:val="00D45BEC"/>
    <w:rsid w:val="00D46937"/>
    <w:rsid w:val="00D517F2"/>
    <w:rsid w:val="00D52DFD"/>
    <w:rsid w:val="00D57F03"/>
    <w:rsid w:val="00D60C28"/>
    <w:rsid w:val="00D64DD0"/>
    <w:rsid w:val="00D70F4F"/>
    <w:rsid w:val="00D74ED8"/>
    <w:rsid w:val="00D81E72"/>
    <w:rsid w:val="00D84534"/>
    <w:rsid w:val="00D92723"/>
    <w:rsid w:val="00D942EB"/>
    <w:rsid w:val="00D97552"/>
    <w:rsid w:val="00DA0314"/>
    <w:rsid w:val="00DA1547"/>
    <w:rsid w:val="00DA1651"/>
    <w:rsid w:val="00DA185A"/>
    <w:rsid w:val="00DA1E0D"/>
    <w:rsid w:val="00DA3994"/>
    <w:rsid w:val="00DA3ABD"/>
    <w:rsid w:val="00DB1668"/>
    <w:rsid w:val="00DB6A47"/>
    <w:rsid w:val="00DC036E"/>
    <w:rsid w:val="00DC1329"/>
    <w:rsid w:val="00DC1348"/>
    <w:rsid w:val="00DC17B6"/>
    <w:rsid w:val="00DC26AA"/>
    <w:rsid w:val="00DC32BA"/>
    <w:rsid w:val="00DC346D"/>
    <w:rsid w:val="00DC52BC"/>
    <w:rsid w:val="00DC633F"/>
    <w:rsid w:val="00DC6E12"/>
    <w:rsid w:val="00DD58FD"/>
    <w:rsid w:val="00DE4561"/>
    <w:rsid w:val="00DF0FEE"/>
    <w:rsid w:val="00DF620B"/>
    <w:rsid w:val="00DF79F6"/>
    <w:rsid w:val="00E01083"/>
    <w:rsid w:val="00E0460A"/>
    <w:rsid w:val="00E075D8"/>
    <w:rsid w:val="00E104A5"/>
    <w:rsid w:val="00E10B13"/>
    <w:rsid w:val="00E12FCC"/>
    <w:rsid w:val="00E1408D"/>
    <w:rsid w:val="00E1631B"/>
    <w:rsid w:val="00E257C7"/>
    <w:rsid w:val="00E25FFF"/>
    <w:rsid w:val="00E3052B"/>
    <w:rsid w:val="00E34B5E"/>
    <w:rsid w:val="00E3628C"/>
    <w:rsid w:val="00E4055A"/>
    <w:rsid w:val="00E4128D"/>
    <w:rsid w:val="00E42549"/>
    <w:rsid w:val="00E437FA"/>
    <w:rsid w:val="00E442A4"/>
    <w:rsid w:val="00E4705E"/>
    <w:rsid w:val="00E47084"/>
    <w:rsid w:val="00E4799A"/>
    <w:rsid w:val="00E5439F"/>
    <w:rsid w:val="00E575EA"/>
    <w:rsid w:val="00E6257A"/>
    <w:rsid w:val="00E635E2"/>
    <w:rsid w:val="00E64716"/>
    <w:rsid w:val="00E6742B"/>
    <w:rsid w:val="00E76FF4"/>
    <w:rsid w:val="00E85C98"/>
    <w:rsid w:val="00E862E5"/>
    <w:rsid w:val="00E90C1B"/>
    <w:rsid w:val="00E95BCA"/>
    <w:rsid w:val="00E97F58"/>
    <w:rsid w:val="00EA3001"/>
    <w:rsid w:val="00EB3C9A"/>
    <w:rsid w:val="00EB5771"/>
    <w:rsid w:val="00EB628A"/>
    <w:rsid w:val="00EC039C"/>
    <w:rsid w:val="00EC3644"/>
    <w:rsid w:val="00EC5448"/>
    <w:rsid w:val="00ED2465"/>
    <w:rsid w:val="00ED5B45"/>
    <w:rsid w:val="00ED6F06"/>
    <w:rsid w:val="00EE27CC"/>
    <w:rsid w:val="00EE3F8F"/>
    <w:rsid w:val="00EF2E2C"/>
    <w:rsid w:val="00EF7C7A"/>
    <w:rsid w:val="00F009AF"/>
    <w:rsid w:val="00F00DB6"/>
    <w:rsid w:val="00F0568D"/>
    <w:rsid w:val="00F05FE1"/>
    <w:rsid w:val="00F11B15"/>
    <w:rsid w:val="00F12F0B"/>
    <w:rsid w:val="00F14955"/>
    <w:rsid w:val="00F16C97"/>
    <w:rsid w:val="00F172E6"/>
    <w:rsid w:val="00F2041E"/>
    <w:rsid w:val="00F33685"/>
    <w:rsid w:val="00F34D9B"/>
    <w:rsid w:val="00F3533F"/>
    <w:rsid w:val="00F41DAB"/>
    <w:rsid w:val="00F45DDA"/>
    <w:rsid w:val="00F52036"/>
    <w:rsid w:val="00F5728D"/>
    <w:rsid w:val="00F67001"/>
    <w:rsid w:val="00F7191C"/>
    <w:rsid w:val="00F7214A"/>
    <w:rsid w:val="00F72509"/>
    <w:rsid w:val="00F83074"/>
    <w:rsid w:val="00F85F2B"/>
    <w:rsid w:val="00F862BF"/>
    <w:rsid w:val="00F87461"/>
    <w:rsid w:val="00F937E1"/>
    <w:rsid w:val="00F9535C"/>
    <w:rsid w:val="00F96E64"/>
    <w:rsid w:val="00F96FC8"/>
    <w:rsid w:val="00F9793B"/>
    <w:rsid w:val="00FA1BA0"/>
    <w:rsid w:val="00FA45EE"/>
    <w:rsid w:val="00FB3ACB"/>
    <w:rsid w:val="00FB4AC7"/>
    <w:rsid w:val="00FB56A5"/>
    <w:rsid w:val="00FB5DA6"/>
    <w:rsid w:val="00FB649B"/>
    <w:rsid w:val="00FC57C1"/>
    <w:rsid w:val="00FC5F6C"/>
    <w:rsid w:val="00FC6D4B"/>
    <w:rsid w:val="00FC6E1A"/>
    <w:rsid w:val="00FD3804"/>
    <w:rsid w:val="00FD385C"/>
    <w:rsid w:val="00FD6225"/>
    <w:rsid w:val="00FD7B51"/>
    <w:rsid w:val="00FF3AE1"/>
    <w:rsid w:val="00FF4147"/>
    <w:rsid w:val="00FF7C41"/>
    <w:rsid w:val="01721262"/>
    <w:rsid w:val="03DE3CAC"/>
    <w:rsid w:val="06B72F36"/>
    <w:rsid w:val="06D84848"/>
    <w:rsid w:val="074107DA"/>
    <w:rsid w:val="075524D7"/>
    <w:rsid w:val="096A04BC"/>
    <w:rsid w:val="09C53944"/>
    <w:rsid w:val="0FB12275"/>
    <w:rsid w:val="12107727"/>
    <w:rsid w:val="1360648C"/>
    <w:rsid w:val="136E412F"/>
    <w:rsid w:val="13C3447C"/>
    <w:rsid w:val="15B4486D"/>
    <w:rsid w:val="1A404921"/>
    <w:rsid w:val="1B0A7C6C"/>
    <w:rsid w:val="1CDC4DD5"/>
    <w:rsid w:val="1D0A73B1"/>
    <w:rsid w:val="1D5F1562"/>
    <w:rsid w:val="1DFE0D7B"/>
    <w:rsid w:val="203D6172"/>
    <w:rsid w:val="203E5DA7"/>
    <w:rsid w:val="208A48AF"/>
    <w:rsid w:val="20B00A53"/>
    <w:rsid w:val="231E77CA"/>
    <w:rsid w:val="247578BD"/>
    <w:rsid w:val="28D113B0"/>
    <w:rsid w:val="28DC615D"/>
    <w:rsid w:val="296A0B7A"/>
    <w:rsid w:val="2CA5304B"/>
    <w:rsid w:val="305111DE"/>
    <w:rsid w:val="31644E4D"/>
    <w:rsid w:val="31CF2D03"/>
    <w:rsid w:val="358E6C1C"/>
    <w:rsid w:val="35C83CF1"/>
    <w:rsid w:val="3A1514CF"/>
    <w:rsid w:val="3AFD61EB"/>
    <w:rsid w:val="3CEF6007"/>
    <w:rsid w:val="3E6E11AD"/>
    <w:rsid w:val="42C121F4"/>
    <w:rsid w:val="49836455"/>
    <w:rsid w:val="4B6D6DE3"/>
    <w:rsid w:val="4B9304A5"/>
    <w:rsid w:val="4D317F76"/>
    <w:rsid w:val="4E3B72FE"/>
    <w:rsid w:val="4F2953A8"/>
    <w:rsid w:val="50C3434E"/>
    <w:rsid w:val="54E81862"/>
    <w:rsid w:val="5BE54D4D"/>
    <w:rsid w:val="5DAB5B22"/>
    <w:rsid w:val="5ED6097D"/>
    <w:rsid w:val="5EDB5F93"/>
    <w:rsid w:val="5F621C90"/>
    <w:rsid w:val="6094261B"/>
    <w:rsid w:val="61E87AE1"/>
    <w:rsid w:val="61F21F72"/>
    <w:rsid w:val="62E55633"/>
    <w:rsid w:val="62F4112C"/>
    <w:rsid w:val="63ED29F1"/>
    <w:rsid w:val="64124205"/>
    <w:rsid w:val="658B24C1"/>
    <w:rsid w:val="665F56FC"/>
    <w:rsid w:val="668B64F1"/>
    <w:rsid w:val="67050051"/>
    <w:rsid w:val="67803B7C"/>
    <w:rsid w:val="69140A20"/>
    <w:rsid w:val="6CA81BAB"/>
    <w:rsid w:val="6D371181"/>
    <w:rsid w:val="6F93311C"/>
    <w:rsid w:val="6F9E1043"/>
    <w:rsid w:val="704C0A9F"/>
    <w:rsid w:val="71573B9F"/>
    <w:rsid w:val="71F631CF"/>
    <w:rsid w:val="72330DC5"/>
    <w:rsid w:val="76B63116"/>
    <w:rsid w:val="77366005"/>
    <w:rsid w:val="78542BE7"/>
    <w:rsid w:val="793F1D99"/>
    <w:rsid w:val="7A0917AF"/>
    <w:rsid w:val="7A4B626B"/>
    <w:rsid w:val="7BC736D0"/>
    <w:rsid w:val="7CA0289E"/>
    <w:rsid w:val="7D9D6DDE"/>
    <w:rsid w:val="7DB14637"/>
    <w:rsid w:val="7F9164CE"/>
    <w:rsid w:val="7F963AE5"/>
    <w:rsid w:val="7F9852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nhideWhenUsed="0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82"/>
    <w:semiHidden/>
    <w:uiPriority w:val="0"/>
    <w:pPr>
      <w:jc w:val="left"/>
    </w:pPr>
  </w:style>
  <w:style w:type="paragraph" w:styleId="3">
    <w:name w:val="Body Text"/>
    <w:basedOn w:val="1"/>
    <w:link w:val="77"/>
    <w:qFormat/>
    <w:uiPriority w:val="0"/>
    <w:pPr>
      <w:spacing w:after="120"/>
    </w:pPr>
  </w:style>
  <w:style w:type="paragraph" w:styleId="4">
    <w:name w:val="Body Text Indent"/>
    <w:basedOn w:val="1"/>
    <w:link w:val="65"/>
    <w:uiPriority w:val="0"/>
    <w:pPr>
      <w:spacing w:after="120"/>
      <w:ind w:left="420" w:leftChars="200"/>
    </w:pPr>
  </w:style>
  <w:style w:type="paragraph" w:styleId="5">
    <w:name w:val="Plain Text"/>
    <w:basedOn w:val="1"/>
    <w:link w:val="72"/>
    <w:qFormat/>
    <w:uiPriority w:val="0"/>
    <w:rPr>
      <w:rFonts w:ascii="宋体" w:hAnsi="Courier New"/>
      <w:szCs w:val="20"/>
    </w:rPr>
  </w:style>
  <w:style w:type="paragraph" w:styleId="6">
    <w:name w:val="Body Text Indent 2"/>
    <w:basedOn w:val="1"/>
    <w:link w:val="63"/>
    <w:qFormat/>
    <w:uiPriority w:val="0"/>
    <w:pPr>
      <w:spacing w:afterLines="50"/>
      <w:ind w:firstLine="480" w:firstLineChars="200"/>
    </w:pPr>
    <w:rPr>
      <w:sz w:val="24"/>
    </w:rPr>
  </w:style>
  <w:style w:type="paragraph" w:styleId="7">
    <w:name w:val="Balloon Text"/>
    <w:basedOn w:val="1"/>
    <w:link w:val="69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7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6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10">
    <w:name w:val="Body Text Indent 3"/>
    <w:basedOn w:val="1"/>
    <w:link w:val="76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11">
    <w:name w:val="Body Text 2"/>
    <w:basedOn w:val="1"/>
    <w:link w:val="74"/>
    <w:qFormat/>
    <w:uiPriority w:val="0"/>
    <w:pPr>
      <w:spacing w:line="340" w:lineRule="exact"/>
    </w:pPr>
    <w:rPr>
      <w:rFonts w:ascii="仿宋_GB2312" w:eastAsia="仿宋_GB2312"/>
      <w:sz w:val="24"/>
    </w:rPr>
  </w:style>
  <w:style w:type="paragraph" w:styleId="1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3">
    <w:name w:val="annotation subject"/>
    <w:basedOn w:val="2"/>
    <w:next w:val="2"/>
    <w:link w:val="84"/>
    <w:semiHidden/>
    <w:qFormat/>
    <w:uiPriority w:val="0"/>
    <w:rPr>
      <w:b/>
      <w:bCs/>
    </w:rPr>
  </w:style>
  <w:style w:type="table" w:styleId="15">
    <w:name w:val="Table Grid"/>
    <w:basedOn w:val="1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qFormat/>
    <w:uiPriority w:val="0"/>
    <w:rPr>
      <w:b/>
      <w:bCs/>
    </w:rPr>
  </w:style>
  <w:style w:type="character" w:styleId="18">
    <w:name w:val="page number"/>
    <w:basedOn w:val="16"/>
    <w:qFormat/>
    <w:uiPriority w:val="0"/>
  </w:style>
  <w:style w:type="character" w:styleId="19">
    <w:name w:val="FollowedHyperlink"/>
    <w:qFormat/>
    <w:uiPriority w:val="0"/>
    <w:rPr>
      <w:color w:val="800080"/>
      <w:u w:val="single"/>
    </w:rPr>
  </w:style>
  <w:style w:type="character" w:styleId="20">
    <w:name w:val="Emphasis"/>
    <w:qFormat/>
    <w:uiPriority w:val="0"/>
    <w:rPr>
      <w:color w:val="CC0000"/>
    </w:rPr>
  </w:style>
  <w:style w:type="character" w:styleId="21">
    <w:name w:val="Hyperlink"/>
    <w:qFormat/>
    <w:uiPriority w:val="0"/>
    <w:rPr>
      <w:color w:val="0000FF"/>
      <w:u w:val="single"/>
    </w:rPr>
  </w:style>
  <w:style w:type="character" w:styleId="22">
    <w:name w:val="annotation reference"/>
    <w:semiHidden/>
    <w:qFormat/>
    <w:uiPriority w:val="0"/>
    <w:rPr>
      <w:sz w:val="21"/>
      <w:szCs w:val="21"/>
    </w:rPr>
  </w:style>
  <w:style w:type="paragraph" w:customStyle="1" w:styleId="2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kern w:val="0"/>
      <w:sz w:val="20"/>
      <w:szCs w:val="20"/>
    </w:rPr>
  </w:style>
  <w:style w:type="paragraph" w:customStyle="1" w:styleId="26">
    <w:name w:val="xl2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黑体" w:hAnsi="宋体" w:eastAsia="黑体" w:cs="宋体"/>
      <w:kern w:val="0"/>
      <w:sz w:val="22"/>
      <w:szCs w:val="22"/>
    </w:rPr>
  </w:style>
  <w:style w:type="paragraph" w:customStyle="1" w:styleId="27">
    <w:name w:val="xl2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黑体" w:hAnsi="宋体" w:eastAsia="黑体" w:cs="宋体"/>
      <w:kern w:val="0"/>
      <w:sz w:val="22"/>
      <w:szCs w:val="22"/>
    </w:rPr>
  </w:style>
  <w:style w:type="paragraph" w:customStyle="1" w:styleId="28">
    <w:name w:val="xl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9">
    <w:name w:val="xl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30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31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32">
    <w:name w:val="xl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33">
    <w:name w:val="xl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34">
    <w:name w:val="xl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35">
    <w:name w:val="xl31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36">
    <w:name w:val="xl32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37">
    <w:name w:val="xl33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38">
    <w:name w:val="xl34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39">
    <w:name w:val="xl35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40">
    <w:name w:val="xl36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黑体" w:hAnsi="宋体" w:eastAsia="黑体" w:cs="宋体"/>
      <w:kern w:val="0"/>
      <w:sz w:val="32"/>
      <w:szCs w:val="32"/>
    </w:rPr>
  </w:style>
  <w:style w:type="paragraph" w:customStyle="1" w:styleId="41">
    <w:name w:val="xl3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42">
    <w:name w:val="xl3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43">
    <w:name w:val="xl3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44">
    <w:name w:val="xl4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45">
    <w:name w:val="xl4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46">
    <w:name w:val="xl4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47">
    <w:name w:val="xl43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黑体" w:hAnsi="宋体" w:eastAsia="黑体" w:cs="宋体"/>
      <w:kern w:val="0"/>
      <w:sz w:val="28"/>
      <w:szCs w:val="28"/>
    </w:rPr>
  </w:style>
  <w:style w:type="paragraph" w:customStyle="1" w:styleId="48">
    <w:name w:val="xl4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49">
    <w:name w:val="xl4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50">
    <w:name w:val="xl46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51">
    <w:name w:val="xl47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52">
    <w:name w:val="xl48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53">
    <w:name w:val="xl49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54">
    <w:name w:val="编号"/>
    <w:basedOn w:val="1"/>
    <w:qFormat/>
    <w:uiPriority w:val="0"/>
    <w:pPr>
      <w:numPr>
        <w:ilvl w:val="1"/>
        <w:numId w:val="1"/>
      </w:numPr>
      <w:tabs>
        <w:tab w:val="left" w:pos="420"/>
      </w:tabs>
      <w:spacing w:line="360" w:lineRule="auto"/>
    </w:pPr>
    <w:rPr>
      <w:szCs w:val="21"/>
    </w:rPr>
  </w:style>
  <w:style w:type="paragraph" w:customStyle="1" w:styleId="55">
    <w:name w:val="标准"/>
    <w:basedOn w:val="1"/>
    <w:qFormat/>
    <w:uiPriority w:val="0"/>
    <w:pPr>
      <w:adjustRightInd w:val="0"/>
      <w:spacing w:before="120" w:after="120" w:line="312" w:lineRule="atLeast"/>
      <w:textAlignment w:val="baseline"/>
    </w:pPr>
    <w:rPr>
      <w:rFonts w:ascii="宋体"/>
      <w:kern w:val="0"/>
      <w:szCs w:val="20"/>
    </w:rPr>
  </w:style>
  <w:style w:type="paragraph" w:customStyle="1" w:styleId="5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57">
    <w:name w:val="style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宋体" w:eastAsia="黑体" w:cs="宋体"/>
      <w:color w:val="FF0000"/>
      <w:kern w:val="0"/>
      <w:sz w:val="36"/>
      <w:szCs w:val="36"/>
    </w:rPr>
  </w:style>
  <w:style w:type="paragraph" w:customStyle="1" w:styleId="58">
    <w:name w:val="style4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楷体_GB2312" w:hAnsi="宋体" w:eastAsia="楷体_GB2312" w:cs="宋体"/>
      <w:color w:val="000000"/>
      <w:kern w:val="0"/>
      <w:sz w:val="27"/>
      <w:szCs w:val="27"/>
    </w:rPr>
  </w:style>
  <w:style w:type="paragraph" w:customStyle="1" w:styleId="59">
    <w:name w:val="普通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60">
    <w:name w:val="样式1"/>
    <w:basedOn w:val="1"/>
    <w:qFormat/>
    <w:uiPriority w:val="0"/>
    <w:pPr>
      <w:autoSpaceDE w:val="0"/>
      <w:autoSpaceDN w:val="0"/>
      <w:adjustRightInd w:val="0"/>
      <w:snapToGrid w:val="0"/>
    </w:pPr>
    <w:rPr>
      <w:rFonts w:ascii="宋体" w:hAnsi="宋体"/>
      <w:color w:val="000000"/>
      <w:spacing w:val="-20"/>
      <w:szCs w:val="21"/>
    </w:rPr>
  </w:style>
  <w:style w:type="paragraph" w:customStyle="1" w:styleId="61">
    <w:name w:val="Char Char1 Char Char1 Char Char1 Char Char1 Char Char Char Char Char Char Char"/>
    <w:basedOn w:val="1"/>
    <w:qFormat/>
    <w:uiPriority w:val="0"/>
    <w:rPr>
      <w:rFonts w:ascii="Tahoma" w:hAnsi="Tahoma"/>
      <w:sz w:val="24"/>
    </w:rPr>
  </w:style>
  <w:style w:type="paragraph" w:customStyle="1" w:styleId="62">
    <w:name w:val="style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63">
    <w:name w:val="正文文本缩进 2 字符"/>
    <w:link w:val="6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64">
    <w:name w:val="Char Char4"/>
    <w:semiHidden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65">
    <w:name w:val="正文文本缩进 字符"/>
    <w:link w:val="4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66">
    <w:name w:val="Char Char6"/>
    <w:semiHidden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67">
    <w:name w:val="页眉 字符"/>
    <w:link w:val="9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68">
    <w:name w:val="Char Char5"/>
    <w:semiHidden/>
    <w:qFormat/>
    <w:uiPriority w:val="0"/>
    <w:rPr>
      <w:rFonts w:eastAsia="宋体"/>
      <w:kern w:val="2"/>
      <w:sz w:val="18"/>
      <w:lang w:val="en-US" w:eastAsia="zh-CN" w:bidi="ar-SA"/>
    </w:rPr>
  </w:style>
  <w:style w:type="character" w:customStyle="1" w:styleId="69">
    <w:name w:val="批注框文本 字符"/>
    <w:link w:val="7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70">
    <w:name w:val="页脚 字符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1">
    <w:name w:val="Char Char2"/>
    <w:semiHidden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72">
    <w:name w:val="纯文本 字符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73">
    <w:name w:val="Char Char3"/>
    <w:semiHidden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74">
    <w:name w:val="正文文本 2 字符"/>
    <w:link w:val="11"/>
    <w:qFormat/>
    <w:uiPriority w:val="0"/>
    <w:rPr>
      <w:rFonts w:ascii="仿宋_GB2312" w:hAnsi="Times New Roman" w:eastAsia="仿宋_GB2312" w:cs="Times New Roman"/>
      <w:sz w:val="24"/>
      <w:szCs w:val="24"/>
    </w:rPr>
  </w:style>
  <w:style w:type="character" w:customStyle="1" w:styleId="75">
    <w:name w:val="Char Char1"/>
    <w:semiHidden/>
    <w:qFormat/>
    <w:uiPriority w:val="0"/>
    <w:rPr>
      <w:rFonts w:ascii="仿宋_GB2312" w:eastAsia="仿宋_GB2312"/>
      <w:kern w:val="2"/>
      <w:sz w:val="24"/>
      <w:szCs w:val="24"/>
      <w:lang w:val="en-US" w:eastAsia="zh-CN" w:bidi="ar-SA"/>
    </w:rPr>
  </w:style>
  <w:style w:type="character" w:customStyle="1" w:styleId="76">
    <w:name w:val="正文文本缩进 3 字符"/>
    <w:link w:val="10"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77">
    <w:name w:val="正文文本 字符"/>
    <w:link w:val="3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78">
    <w:name w:val="dj1"/>
    <w:qFormat/>
    <w:uiPriority w:val="0"/>
    <w:rPr>
      <w:sz w:val="21"/>
      <w:szCs w:val="21"/>
    </w:rPr>
  </w:style>
  <w:style w:type="character" w:customStyle="1" w:styleId="79">
    <w:name w:val="Char Char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80">
    <w:name w:val="style1"/>
    <w:qFormat/>
    <w:uiPriority w:val="0"/>
    <w:rPr>
      <w:rFonts w:hint="default"/>
      <w:color w:val="000000"/>
      <w:spacing w:val="300"/>
      <w:sz w:val="18"/>
      <w:szCs w:val="18"/>
      <w:u w:val="none"/>
    </w:rPr>
  </w:style>
  <w:style w:type="character" w:customStyle="1" w:styleId="81">
    <w:name w:val="duanluo"/>
    <w:basedOn w:val="16"/>
    <w:qFormat/>
    <w:uiPriority w:val="0"/>
  </w:style>
  <w:style w:type="character" w:customStyle="1" w:styleId="82">
    <w:name w:val="批注文字 字符"/>
    <w:link w:val="2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83">
    <w:name w:val="style471"/>
    <w:qFormat/>
    <w:uiPriority w:val="0"/>
    <w:rPr>
      <w:rFonts w:hint="eastAsia" w:ascii="楷体_GB2312" w:eastAsia="楷体_GB2312"/>
      <w:sz w:val="27"/>
      <w:szCs w:val="27"/>
    </w:rPr>
  </w:style>
  <w:style w:type="character" w:customStyle="1" w:styleId="84">
    <w:name w:val="批注主题 字符"/>
    <w:link w:val="13"/>
    <w:semiHidden/>
    <w:qFormat/>
    <w:uiPriority w:val="0"/>
    <w:rPr>
      <w:rFonts w:ascii="Times New Roman" w:hAnsi="Times New Roman" w:eastAsia="宋体" w:cs="Times New Roman"/>
      <w:b/>
      <w:bCs/>
      <w:szCs w:val="24"/>
    </w:rPr>
  </w:style>
  <w:style w:type="paragraph" w:styleId="8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B45FD-1528-4EBC-B693-2D01F0D328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HBU</Company>
  <Pages>4</Pages>
  <Words>2898</Words>
  <Characters>3017</Characters>
  <Lines>5</Lines>
  <Paragraphs>1</Paragraphs>
  <TotalTime>5</TotalTime>
  <ScaleCrop>false</ScaleCrop>
  <LinksUpToDate>false</LinksUpToDate>
  <CharactersWithSpaces>3022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2026-05-19T07:11:00Z</dcterms:created>
  <dc:creator>SHIRY</dc:creator>
  <cp:lastModifiedBy>BY</cp:lastModifiedBy>
  <cp:lastPrinted>2026-03-06T03:33:00Z</cp:lastPrinted>
  <dcterms:modified xsi:type="dcterms:W3CDTF">2026-09-01T02:39:47Z</dcterms:modified>
  <dc:title>XXX专业(XXX试点班)人才培养方案（黑体三号）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eyJoZGlkIjoiNDkxN2E2M2U1YjY4ZGQwMzM3OTkwOTFlYmVhOGQzYzQiLCJ1c2VySWQiOiIzNjIyNDYzMTgifQ==</vt:lpwstr>
  </property>
  <property fmtid="{D5CDD505-2E9C-101B-9397-08002B2CF9AE}" pid="4" name="ICV">
    <vt:lpwstr>4DCC433EF9214E9EBEDBE9906DF41918_13</vt:lpwstr>
  </property>
</Properties>
</file>